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9EE46" w14:textId="77777777" w:rsidR="00AD6551" w:rsidRDefault="00AD6551" w:rsidP="00AD6551">
      <w:pPr>
        <w:pStyle w:val="Heading1"/>
        <w:spacing w:line="240" w:lineRule="auto"/>
        <w:jc w:val="center"/>
        <w:rPr>
          <w:rFonts w:ascii="Calibri" w:hAnsi="Calibri"/>
          <w:sz w:val="24"/>
          <w:szCs w:val="24"/>
          <w:lang w:val="en-US"/>
        </w:rPr>
      </w:pPr>
      <w:r w:rsidRPr="00AD6551">
        <w:rPr>
          <w:rFonts w:ascii="Calibri" w:hAnsi="Calibri"/>
          <w:sz w:val="24"/>
          <w:szCs w:val="24"/>
          <w:lang w:val="en-US"/>
        </w:rPr>
        <w:t>From big data to small-scale decisions: what is the impact?</w:t>
      </w:r>
    </w:p>
    <w:p w14:paraId="614615BA" w14:textId="77777777" w:rsidR="00AD6551" w:rsidRPr="00C560F3" w:rsidRDefault="00AD6551" w:rsidP="00AD6551">
      <w:pPr>
        <w:rPr>
          <w:sz w:val="2"/>
          <w:lang w:eastAsia="en-US"/>
        </w:rPr>
      </w:pPr>
    </w:p>
    <w:p w14:paraId="0023A4B7" w14:textId="77777777" w:rsidR="00A46665" w:rsidRDefault="00AD6551" w:rsidP="00AD6551">
      <w:pPr>
        <w:ind w:firstLine="708"/>
        <w:jc w:val="both"/>
        <w:rPr>
          <w:rFonts w:ascii="Calibri" w:hAnsi="Calibri"/>
          <w:szCs w:val="24"/>
        </w:rPr>
      </w:pPr>
      <w:r w:rsidRPr="00AD6551">
        <w:rPr>
          <w:rFonts w:ascii="Calibri" w:hAnsi="Calibri"/>
          <w:bCs/>
          <w:szCs w:val="24"/>
          <w:u w:val="single"/>
        </w:rPr>
        <w:t>Context and problem</w:t>
      </w:r>
      <w:r w:rsidRPr="00AD6551">
        <w:rPr>
          <w:rFonts w:ascii="Calibri" w:hAnsi="Calibri"/>
          <w:szCs w:val="24"/>
          <w:u w:val="single"/>
        </w:rPr>
        <w:t>:</w:t>
      </w:r>
      <w:r w:rsidRPr="00AD6551">
        <w:rPr>
          <w:rFonts w:ascii="Calibri" w:hAnsi="Calibri"/>
          <w:szCs w:val="24"/>
        </w:rPr>
        <w:t xml:space="preserve"> Most technical support services provide farmers with a one size fits all </w:t>
      </w:r>
      <w:bookmarkStart w:id="0" w:name="_GoBack"/>
      <w:r w:rsidRPr="00AD6551">
        <w:rPr>
          <w:rFonts w:ascii="Calibri" w:hAnsi="Calibri"/>
          <w:szCs w:val="24"/>
        </w:rPr>
        <w:t xml:space="preserve">technological package for their particular recommendation domain. Variation in time and space is not taken </w:t>
      </w:r>
      <w:bookmarkEnd w:id="0"/>
      <w:r w:rsidRPr="00AD6551">
        <w:rPr>
          <w:rFonts w:ascii="Calibri" w:hAnsi="Calibri"/>
          <w:szCs w:val="24"/>
        </w:rPr>
        <w:t xml:space="preserve">into account. One of the possible application of big data (BD) is the exploration of existing data to deliver technical messages for farmers that are tailored to the particular conditions of a specific farm at a given moment in time (Cock et. al 2011; Jimenez et al., 2011). In this process data has to be collected, compiled, analyzed and interpreted and then be presented to farmers in an relevant way so that they can use it to make better decisions. A major strength of BD information (BDI) is that it is largely based on farmers' experiences. Paradoxically, this is also its greatest potential weakness. Indeed, most of the data arrives "disembodied" and farmers are unlikely to be able to make sense of it. Thus, the data needs to be processed so that farmers can see how changes in their management practices interact with variations in the weather, whence they can evaluate distinct management strategies under a range of climatic scenarios. </w:t>
      </w:r>
    </w:p>
    <w:p w14:paraId="292F7A34" w14:textId="7272BA2C" w:rsidR="00AD6551" w:rsidRPr="00AD6551" w:rsidRDefault="00AD6551" w:rsidP="00AD6551">
      <w:pPr>
        <w:ind w:firstLine="708"/>
        <w:jc w:val="both"/>
        <w:rPr>
          <w:rFonts w:ascii="Calibri" w:hAnsi="Calibri"/>
          <w:szCs w:val="24"/>
        </w:rPr>
      </w:pPr>
      <w:r w:rsidRPr="00AD6551">
        <w:rPr>
          <w:rFonts w:ascii="Calibri" w:hAnsi="Calibri"/>
          <w:szCs w:val="24"/>
        </w:rPr>
        <w:t xml:space="preserve">As Climate Change (CC) increases seasonal and inter-annual variability beyond the range farmers are accustomed to (Delerce et al., 2016) the validity of farmers’ tacit knowledge (empirical or intuitive form of knowledge) will be challenged: BDI can play a key role in supporting farmers in their </w:t>
      </w:r>
      <w:r w:rsidR="00C560F3">
        <w:rPr>
          <w:rFonts w:ascii="Calibri" w:hAnsi="Calibri"/>
          <w:szCs w:val="24"/>
        </w:rPr>
        <w:t>strategies</w:t>
      </w:r>
      <w:r w:rsidRPr="00AD6551">
        <w:rPr>
          <w:rFonts w:ascii="Calibri" w:hAnsi="Calibri"/>
          <w:szCs w:val="24"/>
        </w:rPr>
        <w:t xml:space="preserve"> to cope with CC with information taking into account a greater range of environmental conditions and management than that encompassed within their own experience.  Colombian national federation of rice growers (</w:t>
      </w:r>
      <w:proofErr w:type="spellStart"/>
      <w:r w:rsidRPr="00AD6551">
        <w:rPr>
          <w:rFonts w:ascii="Calibri" w:hAnsi="Calibri"/>
          <w:szCs w:val="24"/>
        </w:rPr>
        <w:t>Fedearroz</w:t>
      </w:r>
      <w:proofErr w:type="spellEnd"/>
      <w:r w:rsidRPr="00AD6551">
        <w:rPr>
          <w:rFonts w:ascii="Calibri" w:hAnsi="Calibri"/>
          <w:szCs w:val="24"/>
        </w:rPr>
        <w:t xml:space="preserve">) routinely collects rice production and management data from farmers' fields. In partnership with CIAT, </w:t>
      </w:r>
      <w:proofErr w:type="spellStart"/>
      <w:r w:rsidRPr="00AD6551">
        <w:rPr>
          <w:rFonts w:ascii="Calibri" w:hAnsi="Calibri"/>
          <w:szCs w:val="24"/>
        </w:rPr>
        <w:t>Fedearroz</w:t>
      </w:r>
      <w:proofErr w:type="spellEnd"/>
      <w:r w:rsidRPr="00AD6551">
        <w:rPr>
          <w:rFonts w:ascii="Calibri" w:hAnsi="Calibri"/>
          <w:szCs w:val="24"/>
        </w:rPr>
        <w:t xml:space="preserve"> has increased both their capacity to collect and to analyze data with BD methods and produce information on how weather variation impacts yield (Delerce et al., 2016). </w:t>
      </w:r>
      <w:r w:rsidRPr="00AD6551">
        <w:rPr>
          <w:rFonts w:ascii="Calibri" w:hAnsi="Calibri"/>
          <w:b/>
          <w:bCs/>
          <w:szCs w:val="24"/>
        </w:rPr>
        <w:t xml:space="preserve">Currently there is no strategy to disseminate BDI directly to farmers and hence farmers do no use BDI for their decision making. </w:t>
      </w:r>
    </w:p>
    <w:p w14:paraId="1D6FD2D5" w14:textId="1AA77052" w:rsidR="00AD6551" w:rsidRPr="00AD6551" w:rsidRDefault="00AD6551" w:rsidP="00AD6551">
      <w:pPr>
        <w:ind w:firstLine="708"/>
        <w:jc w:val="both"/>
        <w:rPr>
          <w:rFonts w:ascii="Calibri" w:hAnsi="Calibri"/>
          <w:szCs w:val="24"/>
        </w:rPr>
      </w:pPr>
      <w:r w:rsidRPr="00AD6551">
        <w:rPr>
          <w:rFonts w:ascii="Calibri" w:hAnsi="Calibri"/>
          <w:bCs/>
          <w:szCs w:val="24"/>
          <w:u w:val="single"/>
        </w:rPr>
        <w:t>Solutions or new idea</w:t>
      </w:r>
      <w:r w:rsidRPr="00AD6551">
        <w:rPr>
          <w:rFonts w:ascii="Calibri" w:hAnsi="Calibri"/>
          <w:szCs w:val="24"/>
          <w:u w:val="single"/>
        </w:rPr>
        <w:t>:</w:t>
      </w:r>
      <w:r w:rsidRPr="00AD6551">
        <w:rPr>
          <w:rFonts w:ascii="Calibri" w:hAnsi="Calibri"/>
          <w:szCs w:val="24"/>
        </w:rPr>
        <w:t xml:space="preserve"> The idea is to design, test and evaluate the impact of different mechanisms (traditional, interactive dialogue mechanisms with farmers) to share BDI with farmers</w:t>
      </w:r>
      <w:r w:rsidR="00C560F3">
        <w:rPr>
          <w:rFonts w:ascii="Calibri" w:hAnsi="Calibri"/>
          <w:szCs w:val="24"/>
        </w:rPr>
        <w:t xml:space="preserve"> in yields</w:t>
      </w:r>
      <w:r w:rsidRPr="00AD6551">
        <w:rPr>
          <w:rFonts w:ascii="Calibri" w:hAnsi="Calibri"/>
          <w:szCs w:val="24"/>
        </w:rPr>
        <w:t xml:space="preserve">. To do that, first BDI will be processed to throw light on the most relevant practices for rice producers in Casanare department (Colombia) and shared with them through various mechanisms. Then mixed methods (quantitative and qualitative) will be applied to understand (1) the impact of BDI on yield compared with farmers who don’t receive BDI and (2) catalyzers ( social characteristics, perceptions, type of BDI, diffusion mechanisms) that allow farmers to access and make better use of BDI . </w:t>
      </w:r>
      <w:r w:rsidRPr="00AD6551">
        <w:rPr>
          <w:rFonts w:ascii="Calibri" w:hAnsi="Calibri"/>
          <w:b/>
          <w:bCs/>
          <w:szCs w:val="24"/>
        </w:rPr>
        <w:t>The lessons learned will provide guidelines for others to develop BD based information systems that empower farmer’s management strategies.</w:t>
      </w:r>
    </w:p>
    <w:p w14:paraId="65F7F793" w14:textId="248CBF66" w:rsidR="00AD6551" w:rsidRPr="00AD6551" w:rsidRDefault="00AD6551" w:rsidP="00AD6551">
      <w:pPr>
        <w:ind w:firstLine="708"/>
        <w:jc w:val="both"/>
        <w:rPr>
          <w:rFonts w:ascii="Calibri" w:hAnsi="Calibri"/>
          <w:szCs w:val="24"/>
        </w:rPr>
      </w:pPr>
      <w:r w:rsidRPr="00AD6551">
        <w:rPr>
          <w:rFonts w:ascii="Calibri" w:hAnsi="Calibri"/>
          <w:bCs/>
          <w:szCs w:val="24"/>
          <w:u w:val="single"/>
        </w:rPr>
        <w:t>Justification:</w:t>
      </w:r>
      <w:r w:rsidRPr="00AD6551">
        <w:rPr>
          <w:rFonts w:ascii="Calibri" w:hAnsi="Calibri"/>
          <w:b/>
          <w:bCs/>
          <w:szCs w:val="24"/>
        </w:rPr>
        <w:t xml:space="preserve"> </w:t>
      </w:r>
      <w:r w:rsidRPr="00AD6551">
        <w:rPr>
          <w:rFonts w:ascii="Calibri" w:hAnsi="Calibri"/>
          <w:szCs w:val="24"/>
        </w:rPr>
        <w:t xml:space="preserve">The production of relevant and quality BDI is not enough to achieve its use by farmers. There is a need to understand if and how farmers can access and use BDI to support decision making at individual and local level (Berman, 2013). Understanding the relative role of BDI in farmers’ decision making constitutes a complex challenge as farmers’ decision-making is fostered and/or constrained by various factors including access to resources and information, experiences, interactions, norms and interests. For this reason, a </w:t>
      </w:r>
      <w:r w:rsidRPr="00AD6551">
        <w:rPr>
          <w:rFonts w:ascii="Calibri" w:hAnsi="Calibri"/>
          <w:b/>
          <w:bCs/>
          <w:szCs w:val="24"/>
        </w:rPr>
        <w:t>mixed method combining quantitative and qualitative approaches for the evaluation of the applicability of BD provides a greater and more holistic understanding of a complex situation</w:t>
      </w:r>
      <w:r w:rsidRPr="00AD6551">
        <w:rPr>
          <w:rFonts w:ascii="Calibri" w:hAnsi="Calibri"/>
          <w:szCs w:val="24"/>
        </w:rPr>
        <w:t xml:space="preserve"> (</w:t>
      </w:r>
      <w:proofErr w:type="spellStart"/>
      <w:r w:rsidRPr="00AD6551">
        <w:rPr>
          <w:rFonts w:ascii="Calibri" w:hAnsi="Calibri"/>
          <w:szCs w:val="24"/>
        </w:rPr>
        <w:t>Adato</w:t>
      </w:r>
      <w:proofErr w:type="spellEnd"/>
      <w:r w:rsidRPr="00AD6551">
        <w:rPr>
          <w:rFonts w:ascii="Calibri" w:hAnsi="Calibri"/>
          <w:szCs w:val="24"/>
        </w:rPr>
        <w:t xml:space="preserve">; 2008). Indeed, it allows for “triangulation which is better suited to capture complex results” and to share lessons with different actors (researcher, advisory services, peers) (UNDP, 2013). </w:t>
      </w:r>
    </w:p>
    <w:p w14:paraId="13D55761" w14:textId="667FAF20" w:rsidR="00AD6551" w:rsidRPr="00AD6551" w:rsidRDefault="00AD6551" w:rsidP="00A46665">
      <w:pPr>
        <w:ind w:firstLine="708"/>
        <w:jc w:val="both"/>
        <w:rPr>
          <w:rFonts w:ascii="Calibri" w:hAnsi="Calibri"/>
          <w:szCs w:val="24"/>
        </w:rPr>
      </w:pPr>
      <w:r w:rsidRPr="00AD6551">
        <w:rPr>
          <w:rFonts w:ascii="Calibri" w:hAnsi="Calibri"/>
          <w:szCs w:val="24"/>
        </w:rPr>
        <w:t>Thus, the qualitative approach will provide knowledge on empowerment process regarding the use of BDI in decision making. Anthropological methods such as participative observation, interviews and workshops will be used to understand how BDI shared through different mechanisms fits into farmers’ individual and collective knowledge system and in what extent it is used.</w:t>
      </w:r>
      <w:r w:rsidR="00C560F3">
        <w:rPr>
          <w:rFonts w:ascii="Calibri" w:hAnsi="Calibri"/>
          <w:szCs w:val="24"/>
        </w:rPr>
        <w:t xml:space="preserve"> </w:t>
      </w:r>
      <w:r w:rsidRPr="00AD6551">
        <w:rPr>
          <w:rFonts w:ascii="Calibri" w:hAnsi="Calibri"/>
          <w:szCs w:val="24"/>
        </w:rPr>
        <w:t>For the quantitative a</w:t>
      </w:r>
      <w:r w:rsidR="00C560F3">
        <w:rPr>
          <w:rFonts w:ascii="Calibri" w:hAnsi="Calibri"/>
          <w:szCs w:val="24"/>
        </w:rPr>
        <w:t>nalysis</w:t>
      </w:r>
      <w:r w:rsidRPr="00AD6551">
        <w:rPr>
          <w:rFonts w:ascii="Calibri" w:hAnsi="Calibri"/>
          <w:szCs w:val="24"/>
        </w:rPr>
        <w:t xml:space="preserve"> will</w:t>
      </w:r>
      <w:r w:rsidR="00C560F3">
        <w:rPr>
          <w:rFonts w:ascii="Calibri" w:hAnsi="Calibri"/>
          <w:szCs w:val="24"/>
        </w:rPr>
        <w:t xml:space="preserve"> be</w:t>
      </w:r>
      <w:r w:rsidRPr="00AD6551">
        <w:rPr>
          <w:rFonts w:ascii="Calibri" w:hAnsi="Calibri"/>
          <w:szCs w:val="24"/>
        </w:rPr>
        <w:t xml:space="preserve"> use</w:t>
      </w:r>
      <w:r w:rsidR="00C560F3">
        <w:rPr>
          <w:rFonts w:ascii="Calibri" w:hAnsi="Calibri"/>
          <w:szCs w:val="24"/>
        </w:rPr>
        <w:t>d</w:t>
      </w:r>
      <w:r w:rsidRPr="00AD6551">
        <w:rPr>
          <w:rFonts w:ascii="Calibri" w:hAnsi="Calibri"/>
          <w:szCs w:val="24"/>
        </w:rPr>
        <w:t xml:space="preserve"> Randomized </w:t>
      </w:r>
      <w:r w:rsidRPr="00AD6551">
        <w:rPr>
          <w:rFonts w:ascii="Calibri" w:hAnsi="Calibri"/>
          <w:szCs w:val="24"/>
        </w:rPr>
        <w:lastRenderedPageBreak/>
        <w:t>Controlled Trials (RCT) and mediation analysis through a factorial design. RCT will evaluate the impact of BD</w:t>
      </w:r>
      <w:r w:rsidR="00C560F3">
        <w:rPr>
          <w:rFonts w:ascii="Calibri" w:hAnsi="Calibri"/>
          <w:szCs w:val="24"/>
        </w:rPr>
        <w:t>I</w:t>
      </w:r>
      <w:r w:rsidRPr="00AD6551">
        <w:rPr>
          <w:rFonts w:ascii="Calibri" w:hAnsi="Calibri"/>
          <w:szCs w:val="24"/>
        </w:rPr>
        <w:t xml:space="preserve"> on yields (</w:t>
      </w:r>
      <w:proofErr w:type="spellStart"/>
      <w:r w:rsidRPr="00AD6551">
        <w:rPr>
          <w:rFonts w:ascii="Calibri" w:eastAsia="Times New Roman" w:hAnsi="Calibri" w:cs="Arial"/>
          <w:color w:val="222222"/>
          <w:szCs w:val="24"/>
          <w:lang w:eastAsia="es-CO"/>
        </w:rPr>
        <w:t>Gertler</w:t>
      </w:r>
      <w:proofErr w:type="spellEnd"/>
      <w:r w:rsidRPr="00AD6551">
        <w:rPr>
          <w:rFonts w:ascii="Calibri" w:eastAsia="Times New Roman" w:hAnsi="Calibri" w:cs="Arial"/>
          <w:color w:val="222222"/>
          <w:szCs w:val="24"/>
          <w:lang w:eastAsia="es-CO"/>
        </w:rPr>
        <w:t xml:space="preserve"> et al., 2016)</w:t>
      </w:r>
      <w:r w:rsidRPr="00AD6551">
        <w:rPr>
          <w:rFonts w:ascii="Calibri" w:hAnsi="Calibri"/>
          <w:szCs w:val="24"/>
        </w:rPr>
        <w:t>. Then, mediation analysis provide an understanding of the causes of impact or the pathway towards impact (</w:t>
      </w:r>
      <w:r w:rsidRPr="00AD6551">
        <w:rPr>
          <w:rFonts w:ascii="Calibri" w:eastAsia="Times New Roman" w:hAnsi="Calibri" w:cs="Arial"/>
          <w:color w:val="222222"/>
          <w:szCs w:val="24"/>
          <w:lang w:eastAsia="es-CO"/>
        </w:rPr>
        <w:t>Gerber and Green, 2012</w:t>
      </w:r>
      <w:r w:rsidRPr="00AD6551">
        <w:rPr>
          <w:rFonts w:ascii="Calibri" w:hAnsi="Calibri"/>
          <w:szCs w:val="24"/>
        </w:rPr>
        <w:t xml:space="preserve">). In the trial, different groups will be defined according to specific mechanisms used for sharing BDI. </w:t>
      </w:r>
      <w:r w:rsidRPr="00AD6551">
        <w:rPr>
          <w:rFonts w:ascii="Calibri" w:hAnsi="Calibri"/>
          <w:b/>
          <w:szCs w:val="24"/>
        </w:rPr>
        <w:t>A</w:t>
      </w:r>
      <w:r w:rsidR="00C560F3">
        <w:rPr>
          <w:rFonts w:ascii="Calibri" w:hAnsi="Calibri"/>
          <w:b/>
          <w:szCs w:val="24"/>
        </w:rPr>
        <w:t>t the end,</w:t>
      </w:r>
      <w:r w:rsidRPr="00AD6551">
        <w:rPr>
          <w:rFonts w:ascii="Calibri" w:hAnsi="Calibri"/>
          <w:b/>
          <w:szCs w:val="24"/>
        </w:rPr>
        <w:t xml:space="preserve"> recommendations will be formulated on how to foster the use of BDI through adapted dialogue mechanism</w:t>
      </w:r>
      <w:r w:rsidR="00C560F3">
        <w:rPr>
          <w:rFonts w:ascii="Calibri" w:hAnsi="Calibri"/>
          <w:b/>
          <w:szCs w:val="24"/>
        </w:rPr>
        <w:t>s</w:t>
      </w:r>
      <w:r w:rsidRPr="00AD6551">
        <w:rPr>
          <w:rFonts w:ascii="Calibri" w:hAnsi="Calibri"/>
          <w:szCs w:val="24"/>
        </w:rPr>
        <w:t xml:space="preserve">. </w:t>
      </w:r>
    </w:p>
    <w:p w14:paraId="7A85DFCE" w14:textId="77777777" w:rsidR="00AD6551" w:rsidRPr="00AD6551" w:rsidRDefault="00AD6551" w:rsidP="00AD6551">
      <w:pPr>
        <w:ind w:firstLine="708"/>
        <w:jc w:val="both"/>
        <w:rPr>
          <w:rFonts w:ascii="Calibri" w:hAnsi="Calibri"/>
          <w:bCs/>
          <w:szCs w:val="24"/>
          <w:u w:val="single"/>
        </w:rPr>
      </w:pPr>
      <w:r w:rsidRPr="00AD6551">
        <w:rPr>
          <w:rFonts w:ascii="Calibri" w:hAnsi="Calibri"/>
          <w:bCs/>
          <w:szCs w:val="24"/>
          <w:u w:val="single"/>
        </w:rPr>
        <w:t>Hypothesis:</w:t>
      </w:r>
    </w:p>
    <w:p w14:paraId="7CE7CB2F" w14:textId="77777777" w:rsidR="00AD6551" w:rsidRPr="00AD6551" w:rsidRDefault="00AD6551" w:rsidP="00AD6551">
      <w:pPr>
        <w:jc w:val="both"/>
        <w:rPr>
          <w:rFonts w:ascii="Calibri" w:hAnsi="Calibri"/>
          <w:szCs w:val="24"/>
        </w:rPr>
      </w:pPr>
      <w:r w:rsidRPr="00AD6551">
        <w:rPr>
          <w:rFonts w:ascii="Calibri" w:hAnsi="Calibri"/>
          <w:b/>
          <w:bCs/>
          <w:szCs w:val="24"/>
        </w:rPr>
        <w:t>1</w:t>
      </w:r>
      <w:r w:rsidRPr="00AD6551">
        <w:rPr>
          <w:rFonts w:ascii="Calibri" w:hAnsi="Calibri"/>
          <w:szCs w:val="24"/>
        </w:rPr>
        <w:t>. Farmers’ socio economic profiles (men/women, young/old, big or small-scale farmers…) influence the type of information needed to make technical decisions and the BDI design and diffusion.</w:t>
      </w:r>
    </w:p>
    <w:p w14:paraId="636AB2E6" w14:textId="77777777" w:rsidR="00AD6551" w:rsidRPr="00AD6551" w:rsidRDefault="00AD6551" w:rsidP="00AD6551">
      <w:pPr>
        <w:jc w:val="both"/>
        <w:rPr>
          <w:rFonts w:ascii="Calibri" w:hAnsi="Calibri"/>
          <w:szCs w:val="24"/>
        </w:rPr>
      </w:pPr>
      <w:r w:rsidRPr="00AD6551">
        <w:rPr>
          <w:rFonts w:ascii="Calibri" w:hAnsi="Calibri"/>
          <w:b/>
          <w:bCs/>
          <w:szCs w:val="24"/>
        </w:rPr>
        <w:t xml:space="preserve">2. </w:t>
      </w:r>
      <w:r w:rsidRPr="00AD6551">
        <w:rPr>
          <w:rFonts w:ascii="Calibri" w:hAnsi="Calibri"/>
          <w:szCs w:val="24"/>
        </w:rPr>
        <w:t xml:space="preserve">Interactive dialogue mechanisms induce change in mediating variables (the use by farmers of relevant practices identified through BD analysis) that permit to improve yields. </w:t>
      </w:r>
    </w:p>
    <w:p w14:paraId="2780490E" w14:textId="77777777" w:rsidR="00C93659" w:rsidRPr="00AD6551" w:rsidRDefault="00C93659" w:rsidP="0082230A">
      <w:pPr>
        <w:pBdr>
          <w:bottom w:val="single" w:sz="4" w:space="1" w:color="auto"/>
        </w:pBdr>
        <w:rPr>
          <w:rFonts w:ascii="Calibri" w:hAnsi="Calibri"/>
          <w:color w:val="767171" w:themeColor="background2" w:themeShade="80"/>
          <w:sz w:val="2"/>
          <w:szCs w:val="24"/>
        </w:rPr>
      </w:pPr>
    </w:p>
    <w:p w14:paraId="306FC4E9" w14:textId="77777777" w:rsidR="0082230A" w:rsidRPr="00AD6551" w:rsidRDefault="0082230A" w:rsidP="0082230A">
      <w:pPr>
        <w:rPr>
          <w:rFonts w:ascii="Calibri" w:hAnsi="Calibri"/>
          <w:color w:val="767171" w:themeColor="background2" w:themeShade="80"/>
          <w:sz w:val="2"/>
          <w:szCs w:val="24"/>
        </w:rPr>
      </w:pPr>
    </w:p>
    <w:p w14:paraId="0CAFF59A" w14:textId="65897142" w:rsidR="00AD6551" w:rsidRPr="00AD6551" w:rsidRDefault="00AD6551" w:rsidP="00AD6551">
      <w:pPr>
        <w:ind w:firstLine="708"/>
        <w:jc w:val="both"/>
        <w:rPr>
          <w:rFonts w:ascii="Calibri" w:hAnsi="Calibri"/>
          <w:bCs/>
          <w:szCs w:val="24"/>
          <w:u w:val="single"/>
        </w:rPr>
      </w:pPr>
      <w:r w:rsidRPr="00AD6551">
        <w:rPr>
          <w:rFonts w:ascii="Calibri" w:hAnsi="Calibri"/>
          <w:bCs/>
          <w:szCs w:val="24"/>
          <w:u w:val="single"/>
        </w:rPr>
        <w:t>T</w:t>
      </w:r>
      <w:r w:rsidR="006F610C">
        <w:rPr>
          <w:rFonts w:ascii="Calibri" w:hAnsi="Calibri"/>
          <w:bCs/>
          <w:szCs w:val="24"/>
          <w:u w:val="single"/>
        </w:rPr>
        <w:t>heory of Change,</w:t>
      </w:r>
      <w:r w:rsidRPr="00AD6551">
        <w:rPr>
          <w:rFonts w:ascii="Calibri" w:hAnsi="Calibri"/>
          <w:bCs/>
          <w:szCs w:val="24"/>
          <w:u w:val="single"/>
        </w:rPr>
        <w:t xml:space="preserve"> information produced</w:t>
      </w:r>
      <w:r w:rsidR="006F610C">
        <w:rPr>
          <w:rFonts w:ascii="Calibri" w:hAnsi="Calibri"/>
          <w:bCs/>
          <w:szCs w:val="24"/>
          <w:u w:val="single"/>
        </w:rPr>
        <w:t xml:space="preserve"> and budget</w:t>
      </w:r>
      <w:r w:rsidRPr="00AD6551">
        <w:rPr>
          <w:rFonts w:ascii="Calibri" w:hAnsi="Calibri"/>
          <w:bCs/>
          <w:szCs w:val="24"/>
          <w:u w:val="single"/>
        </w:rPr>
        <w:t>:</w:t>
      </w:r>
    </w:p>
    <w:p w14:paraId="556DCA85" w14:textId="2C0F886E" w:rsidR="00AD6551" w:rsidRPr="00AD6551" w:rsidRDefault="00FD08EE" w:rsidP="004A1DA3">
      <w:pPr>
        <w:spacing w:beforeLines="50" w:before="120"/>
        <w:rPr>
          <w:rFonts w:ascii="Calibri" w:hAnsi="Calibri"/>
          <w:szCs w:val="24"/>
        </w:rPr>
      </w:pPr>
      <w:r>
        <w:rPr>
          <w:rFonts w:ascii="Calibri" w:hAnsi="Calibri"/>
          <w:noProof/>
          <w:szCs w:val="24"/>
          <w:lang w:val="es-CO" w:eastAsia="es-CO"/>
        </w:rPr>
        <w:drawing>
          <wp:anchor distT="0" distB="0" distL="114300" distR="114300" simplePos="0" relativeHeight="251658240" behindDoc="1" locked="0" layoutInCell="1" allowOverlap="1" wp14:anchorId="787F6F8E" wp14:editId="3BACF217">
            <wp:simplePos x="0" y="0"/>
            <wp:positionH relativeFrom="column">
              <wp:posOffset>0</wp:posOffset>
            </wp:positionH>
            <wp:positionV relativeFrom="paragraph">
              <wp:posOffset>73660</wp:posOffset>
            </wp:positionV>
            <wp:extent cx="5361305" cy="3150235"/>
            <wp:effectExtent l="0" t="0" r="0" b="0"/>
            <wp:wrapTight wrapText="bothSides">
              <wp:wrapPolygon edited="0">
                <wp:start x="0" y="0"/>
                <wp:lineTo x="0" y="21421"/>
                <wp:lineTo x="21413" y="21421"/>
                <wp:lineTo x="21490" y="0"/>
                <wp:lineTo x="0" y="0"/>
              </wp:wrapPolygon>
            </wp:wrapTight>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4878"/>
                    <a:stretch/>
                  </pic:blipFill>
                  <pic:spPr bwMode="auto">
                    <a:xfrm>
                      <a:off x="0" y="0"/>
                      <a:ext cx="5361305" cy="31502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CD8AF9" w14:textId="77777777" w:rsidR="004A1DA3" w:rsidRDefault="004A1DA3" w:rsidP="00AD6551">
      <w:pPr>
        <w:jc w:val="both"/>
        <w:rPr>
          <w:rFonts w:ascii="Calibri" w:hAnsi="Calibri"/>
          <w:b/>
          <w:szCs w:val="24"/>
        </w:rPr>
      </w:pPr>
    </w:p>
    <w:p w14:paraId="2A463A9C" w14:textId="28EB5817" w:rsidR="00AD6551" w:rsidRDefault="004A1DA3" w:rsidP="00AD6551">
      <w:pPr>
        <w:jc w:val="both"/>
        <w:rPr>
          <w:rFonts w:ascii="Calibri" w:hAnsi="Calibri"/>
          <w:b/>
          <w:szCs w:val="24"/>
        </w:rPr>
      </w:pPr>
      <w:r>
        <w:rPr>
          <w:rFonts w:ascii="Calibri" w:hAnsi="Calibri"/>
          <w:b/>
          <w:szCs w:val="24"/>
        </w:rPr>
        <w:t>I</w:t>
      </w:r>
      <w:r w:rsidR="00AD6551" w:rsidRPr="00AD6551">
        <w:rPr>
          <w:rFonts w:ascii="Calibri" w:hAnsi="Calibri"/>
          <w:b/>
          <w:szCs w:val="24"/>
        </w:rPr>
        <w:t xml:space="preserve">f the pilot is a success the methodology could be applied </w:t>
      </w:r>
      <w:r w:rsidR="002E62D8">
        <w:rPr>
          <w:rFonts w:ascii="Calibri" w:hAnsi="Calibri"/>
          <w:b/>
          <w:szCs w:val="24"/>
        </w:rPr>
        <w:t>at</w:t>
      </w:r>
      <w:r w:rsidR="00AD6551" w:rsidRPr="00AD6551">
        <w:rPr>
          <w:rFonts w:ascii="Calibri" w:hAnsi="Calibri"/>
          <w:b/>
          <w:szCs w:val="24"/>
        </w:rPr>
        <w:t xml:space="preserve"> </w:t>
      </w:r>
      <w:r w:rsidR="00FD08EE">
        <w:rPr>
          <w:rFonts w:ascii="Calibri" w:hAnsi="Calibri"/>
          <w:b/>
          <w:szCs w:val="24"/>
        </w:rPr>
        <w:t xml:space="preserve">a </w:t>
      </w:r>
      <w:r w:rsidR="00AD6551" w:rsidRPr="00AD6551">
        <w:rPr>
          <w:rFonts w:ascii="Calibri" w:hAnsi="Calibri"/>
          <w:b/>
          <w:szCs w:val="24"/>
        </w:rPr>
        <w:t>bigger scope</w:t>
      </w:r>
      <w:r>
        <w:rPr>
          <w:rFonts w:ascii="Calibri" w:hAnsi="Calibri"/>
          <w:b/>
          <w:szCs w:val="24"/>
        </w:rPr>
        <w:t xml:space="preserve"> (rice in all Colombia)</w:t>
      </w:r>
      <w:r w:rsidR="00AD6551" w:rsidRPr="00AD6551">
        <w:rPr>
          <w:rFonts w:ascii="Calibri" w:hAnsi="Calibri"/>
          <w:b/>
          <w:szCs w:val="24"/>
        </w:rPr>
        <w:t xml:space="preserve">, or </w:t>
      </w:r>
      <w:r w:rsidR="002E62D8">
        <w:rPr>
          <w:rFonts w:ascii="Calibri" w:hAnsi="Calibri"/>
          <w:b/>
          <w:szCs w:val="24"/>
        </w:rPr>
        <w:t>at</w:t>
      </w:r>
      <w:r w:rsidR="00AD6551" w:rsidRPr="00AD6551">
        <w:rPr>
          <w:rFonts w:ascii="Calibri" w:hAnsi="Calibri"/>
          <w:b/>
          <w:szCs w:val="24"/>
        </w:rPr>
        <w:t xml:space="preserve"> other crops </w:t>
      </w:r>
      <w:r>
        <w:rPr>
          <w:rFonts w:ascii="Calibri" w:hAnsi="Calibri"/>
          <w:b/>
          <w:szCs w:val="24"/>
        </w:rPr>
        <w:t xml:space="preserve">(maize) </w:t>
      </w:r>
      <w:r w:rsidR="00AD6551" w:rsidRPr="00AD6551">
        <w:rPr>
          <w:rFonts w:ascii="Calibri" w:hAnsi="Calibri"/>
          <w:b/>
          <w:szCs w:val="24"/>
        </w:rPr>
        <w:t xml:space="preserve">or </w:t>
      </w:r>
      <w:r w:rsidR="002E62D8">
        <w:rPr>
          <w:rFonts w:ascii="Calibri" w:hAnsi="Calibri"/>
          <w:b/>
          <w:szCs w:val="24"/>
        </w:rPr>
        <w:t>at</w:t>
      </w:r>
      <w:r w:rsidR="00AD6551" w:rsidRPr="00AD6551">
        <w:rPr>
          <w:rFonts w:ascii="Calibri" w:hAnsi="Calibri"/>
          <w:b/>
          <w:szCs w:val="24"/>
        </w:rPr>
        <w:t xml:space="preserve"> other part of the world</w:t>
      </w:r>
      <w:r>
        <w:rPr>
          <w:rFonts w:ascii="Calibri" w:hAnsi="Calibri"/>
          <w:b/>
          <w:szCs w:val="24"/>
        </w:rPr>
        <w:t xml:space="preserve"> (Africa, Asia)</w:t>
      </w:r>
      <w:r w:rsidR="00AD6551" w:rsidRPr="00AD6551">
        <w:rPr>
          <w:rFonts w:ascii="Calibri" w:hAnsi="Calibri"/>
          <w:b/>
          <w:szCs w:val="24"/>
        </w:rPr>
        <w:t xml:space="preserve">. </w:t>
      </w:r>
    </w:p>
    <w:p w14:paraId="679F447E" w14:textId="77777777" w:rsidR="00FD08EE" w:rsidRPr="00AD6551" w:rsidRDefault="00FD08EE" w:rsidP="00AD6551">
      <w:pPr>
        <w:jc w:val="both"/>
        <w:rPr>
          <w:rFonts w:ascii="Calibri" w:hAnsi="Calibri"/>
          <w:b/>
          <w:szCs w:val="24"/>
        </w:rPr>
      </w:pPr>
    </w:p>
    <w:p w14:paraId="4A3A26E7" w14:textId="77777777" w:rsidR="004A1DA3" w:rsidRDefault="004A1DA3" w:rsidP="00AD6551">
      <w:pPr>
        <w:jc w:val="both"/>
        <w:rPr>
          <w:rFonts w:ascii="Calibri" w:hAnsi="Calibri"/>
          <w:bCs/>
          <w:szCs w:val="24"/>
          <w:u w:val="single"/>
        </w:rPr>
      </w:pPr>
    </w:p>
    <w:p w14:paraId="33F34203" w14:textId="77777777" w:rsidR="004A1DA3" w:rsidRDefault="004A1DA3" w:rsidP="00AD6551">
      <w:pPr>
        <w:jc w:val="both"/>
        <w:rPr>
          <w:rFonts w:ascii="Calibri" w:hAnsi="Calibri"/>
          <w:bCs/>
          <w:szCs w:val="24"/>
          <w:u w:val="single"/>
        </w:rPr>
      </w:pPr>
    </w:p>
    <w:p w14:paraId="16383B9E" w14:textId="77777777" w:rsidR="004A1DA3" w:rsidRDefault="004A1DA3" w:rsidP="00AD6551">
      <w:pPr>
        <w:jc w:val="both"/>
        <w:rPr>
          <w:rFonts w:ascii="Calibri" w:hAnsi="Calibri"/>
          <w:bCs/>
          <w:szCs w:val="24"/>
          <w:u w:val="single"/>
        </w:rPr>
      </w:pPr>
    </w:p>
    <w:p w14:paraId="0653DDAA" w14:textId="77777777" w:rsidR="004A1DA3" w:rsidRDefault="004A1DA3" w:rsidP="00AD6551">
      <w:pPr>
        <w:jc w:val="both"/>
        <w:rPr>
          <w:rFonts w:ascii="Calibri" w:hAnsi="Calibri"/>
          <w:bCs/>
          <w:szCs w:val="24"/>
          <w:u w:val="single"/>
        </w:rPr>
      </w:pPr>
    </w:p>
    <w:p w14:paraId="5A6B7E40" w14:textId="77777777" w:rsidR="004A1DA3" w:rsidRDefault="004A1DA3" w:rsidP="00AD6551">
      <w:pPr>
        <w:jc w:val="both"/>
        <w:rPr>
          <w:rFonts w:ascii="Calibri" w:hAnsi="Calibri"/>
          <w:bCs/>
          <w:szCs w:val="24"/>
          <w:u w:val="single"/>
        </w:rPr>
      </w:pPr>
    </w:p>
    <w:p w14:paraId="74D02E19" w14:textId="77777777" w:rsidR="00FD08EE" w:rsidRDefault="00FD08EE" w:rsidP="00AD6551">
      <w:pPr>
        <w:jc w:val="both"/>
        <w:rPr>
          <w:rFonts w:ascii="Calibri" w:hAnsi="Calibri"/>
          <w:bCs/>
          <w:szCs w:val="24"/>
          <w:u w:val="single"/>
        </w:rPr>
      </w:pPr>
    </w:p>
    <w:p w14:paraId="63434B76" w14:textId="77777777" w:rsidR="00AD6551" w:rsidRPr="00AD6551" w:rsidRDefault="00AD6551" w:rsidP="00AD6551">
      <w:pPr>
        <w:jc w:val="both"/>
        <w:rPr>
          <w:rFonts w:ascii="Calibri" w:hAnsi="Calibri"/>
          <w:bCs/>
          <w:szCs w:val="24"/>
          <w:u w:val="single"/>
        </w:rPr>
      </w:pPr>
      <w:r w:rsidRPr="00AD6551">
        <w:rPr>
          <w:rFonts w:ascii="Calibri" w:hAnsi="Calibri"/>
          <w:bCs/>
          <w:szCs w:val="24"/>
          <w:u w:val="single"/>
        </w:rPr>
        <w:t>Literature:</w:t>
      </w:r>
    </w:p>
    <w:p w14:paraId="27B2D113" w14:textId="77777777" w:rsidR="00AD6551" w:rsidRPr="00AD6551" w:rsidRDefault="00AD6551" w:rsidP="00AD6551">
      <w:pPr>
        <w:autoSpaceDE w:val="0"/>
        <w:autoSpaceDN w:val="0"/>
        <w:adjustRightInd w:val="0"/>
        <w:jc w:val="both"/>
        <w:rPr>
          <w:rFonts w:ascii="Calibri" w:eastAsia="Times New Roman" w:hAnsi="Calibri" w:cs="Arial"/>
          <w:color w:val="222222"/>
          <w:szCs w:val="24"/>
          <w:lang w:eastAsia="es-CO"/>
        </w:rPr>
      </w:pPr>
      <w:proofErr w:type="spellStart"/>
      <w:r w:rsidRPr="00AD6551">
        <w:rPr>
          <w:rFonts w:ascii="Calibri" w:eastAsia="Times New Roman" w:hAnsi="Calibri" w:cs="Arial"/>
          <w:color w:val="222222"/>
          <w:szCs w:val="24"/>
          <w:lang w:eastAsia="es-CO"/>
        </w:rPr>
        <w:t>Adato</w:t>
      </w:r>
      <w:proofErr w:type="spellEnd"/>
      <w:r w:rsidRPr="00AD6551">
        <w:rPr>
          <w:rFonts w:ascii="Calibri" w:eastAsia="Times New Roman" w:hAnsi="Calibri" w:cs="Arial"/>
          <w:color w:val="222222"/>
          <w:szCs w:val="24"/>
          <w:lang w:eastAsia="es-CO"/>
        </w:rPr>
        <w:t>, M. (2008). Integrating survey and ethnographic methods to evaluate conditional cash transfer programs (Vol. 810). Intl Food Policy Res Inst.</w:t>
      </w:r>
    </w:p>
    <w:p w14:paraId="120B8C43" w14:textId="77777777" w:rsidR="00AD6551" w:rsidRPr="00AD6551" w:rsidRDefault="00AD6551" w:rsidP="00AD6551">
      <w:pPr>
        <w:jc w:val="both"/>
        <w:rPr>
          <w:rFonts w:ascii="Calibri" w:eastAsia="Times New Roman" w:hAnsi="Calibri" w:cs="Arial"/>
          <w:color w:val="222222"/>
          <w:szCs w:val="24"/>
          <w:lang w:val="fr-FR" w:eastAsia="es-CO"/>
        </w:rPr>
      </w:pPr>
      <w:r w:rsidRPr="00AD6551">
        <w:rPr>
          <w:rFonts w:ascii="Calibri" w:eastAsia="Times New Roman" w:hAnsi="Calibri" w:cs="Arial"/>
          <w:color w:val="222222"/>
          <w:szCs w:val="24"/>
          <w:lang w:eastAsia="es-CO"/>
        </w:rPr>
        <w:t xml:space="preserve">Berman, J. J. (2013). Principles of big data: preparing, sharing, and analyzing complex information. </w:t>
      </w:r>
      <w:proofErr w:type="spellStart"/>
      <w:r w:rsidRPr="00AD6551">
        <w:rPr>
          <w:rFonts w:ascii="Calibri" w:eastAsia="Times New Roman" w:hAnsi="Calibri" w:cs="Arial"/>
          <w:color w:val="222222"/>
          <w:szCs w:val="24"/>
          <w:lang w:val="fr-FR" w:eastAsia="es-CO"/>
        </w:rPr>
        <w:t>Newnes</w:t>
      </w:r>
      <w:proofErr w:type="spellEnd"/>
      <w:r w:rsidRPr="00AD6551">
        <w:rPr>
          <w:rFonts w:ascii="Calibri" w:eastAsia="Times New Roman" w:hAnsi="Calibri" w:cs="Arial"/>
          <w:color w:val="222222"/>
          <w:szCs w:val="24"/>
          <w:lang w:val="fr-FR" w:eastAsia="es-CO"/>
        </w:rPr>
        <w:t xml:space="preserve">. </w:t>
      </w:r>
    </w:p>
    <w:p w14:paraId="6010AF52" w14:textId="77777777" w:rsidR="00AD6551" w:rsidRPr="00AD6551" w:rsidRDefault="00AD6551" w:rsidP="00AD6551">
      <w:pPr>
        <w:jc w:val="both"/>
        <w:rPr>
          <w:rFonts w:ascii="Calibri" w:eastAsia="Times New Roman" w:hAnsi="Calibri" w:cs="Arial"/>
          <w:color w:val="222222"/>
          <w:szCs w:val="24"/>
          <w:lang w:val="fr-FR" w:eastAsia="es-CO"/>
        </w:rPr>
      </w:pPr>
      <w:r w:rsidRPr="00AD6551">
        <w:rPr>
          <w:rFonts w:ascii="Calibri" w:eastAsia="Times New Roman" w:hAnsi="Calibri" w:cs="Arial"/>
          <w:color w:val="222222"/>
          <w:szCs w:val="24"/>
          <w:lang w:val="fr-FR" w:eastAsia="es-CO"/>
        </w:rPr>
        <w:t xml:space="preserve">Cock, J., (2011). </w:t>
      </w:r>
      <w:hyperlink r:id="rId9" w:tgtFrame="_blank" w:tooltip="Persistent link using digital object identifier" w:history="1">
        <w:r w:rsidRPr="00AD6551">
          <w:rPr>
            <w:rFonts w:ascii="Calibri" w:eastAsia="Times New Roman" w:hAnsi="Calibri" w:cstheme="minorBidi"/>
            <w:color w:val="222222"/>
            <w:szCs w:val="24"/>
            <w:lang w:val="fr-FR" w:eastAsia="es-CO"/>
          </w:rPr>
          <w:t>https://doi.org/10.1016/j.agsy.2011.07.001</w:t>
        </w:r>
      </w:hyperlink>
    </w:p>
    <w:p w14:paraId="7B22B37A" w14:textId="77777777" w:rsidR="00AD6551" w:rsidRPr="00AD6551" w:rsidRDefault="00AD6551" w:rsidP="00AD6551">
      <w:pPr>
        <w:jc w:val="both"/>
        <w:rPr>
          <w:rFonts w:ascii="Calibri" w:eastAsia="Times New Roman" w:hAnsi="Calibri" w:cs="Arial"/>
          <w:color w:val="222222"/>
          <w:szCs w:val="24"/>
          <w:lang w:eastAsia="es-CO"/>
        </w:rPr>
      </w:pPr>
      <w:r w:rsidRPr="00AD6551">
        <w:rPr>
          <w:rFonts w:ascii="Calibri" w:eastAsia="Times New Roman" w:hAnsi="Calibri" w:cs="Arial"/>
          <w:color w:val="222222"/>
          <w:szCs w:val="24"/>
          <w:lang w:val="fr-FR" w:eastAsia="es-CO"/>
        </w:rPr>
        <w:t xml:space="preserve">Delerce S., et al. </w:t>
      </w:r>
      <w:r w:rsidRPr="00AD6551">
        <w:rPr>
          <w:rFonts w:ascii="Calibri" w:eastAsia="Times New Roman" w:hAnsi="Calibri" w:cs="Arial"/>
          <w:color w:val="222222"/>
          <w:szCs w:val="24"/>
          <w:lang w:eastAsia="es-CO"/>
        </w:rPr>
        <w:t xml:space="preserve">(2016) </w:t>
      </w:r>
      <w:hyperlink r:id="rId10" w:history="1">
        <w:r w:rsidRPr="00AD6551">
          <w:rPr>
            <w:rFonts w:ascii="Calibri" w:eastAsia="Times New Roman" w:hAnsi="Calibri"/>
            <w:color w:val="222222"/>
            <w:szCs w:val="24"/>
            <w:lang w:eastAsia="es-CO"/>
          </w:rPr>
          <w:t>doi.org/10.1371/journal.pone.0161620</w:t>
        </w:r>
      </w:hyperlink>
    </w:p>
    <w:p w14:paraId="7D4C5597" w14:textId="77777777" w:rsidR="00AD6551" w:rsidRPr="00AD6551" w:rsidRDefault="00AD6551" w:rsidP="00AD6551">
      <w:pPr>
        <w:jc w:val="both"/>
        <w:rPr>
          <w:rFonts w:ascii="Calibri" w:eastAsia="Times New Roman" w:hAnsi="Calibri" w:cs="Arial"/>
          <w:color w:val="222222"/>
          <w:szCs w:val="24"/>
          <w:lang w:eastAsia="es-CO"/>
        </w:rPr>
      </w:pPr>
      <w:r w:rsidRPr="00AD6551">
        <w:rPr>
          <w:rFonts w:ascii="Calibri" w:eastAsia="Times New Roman" w:hAnsi="Calibri" w:cs="Arial"/>
          <w:color w:val="222222"/>
          <w:szCs w:val="24"/>
          <w:lang w:eastAsia="es-CO"/>
        </w:rPr>
        <w:t>Gerber, A., Green, D., (2012). Field Experiments: Design, Analysis and Interpretation. W.W. Norton &amp; Company. Chapter 10. Mediation.</w:t>
      </w:r>
    </w:p>
    <w:p w14:paraId="747C6EE0" w14:textId="77777777" w:rsidR="00AD6551" w:rsidRPr="00AD6551" w:rsidRDefault="00AD6551" w:rsidP="00AD6551">
      <w:pPr>
        <w:jc w:val="both"/>
        <w:rPr>
          <w:rFonts w:ascii="Calibri" w:eastAsia="Times New Roman" w:hAnsi="Calibri" w:cs="Arial"/>
          <w:color w:val="222222"/>
          <w:szCs w:val="24"/>
          <w:lang w:val="fr-FR" w:eastAsia="es-CO"/>
        </w:rPr>
      </w:pPr>
      <w:proofErr w:type="spellStart"/>
      <w:r w:rsidRPr="00AD6551">
        <w:rPr>
          <w:rFonts w:ascii="Calibri" w:eastAsia="Times New Roman" w:hAnsi="Calibri" w:cs="Arial"/>
          <w:color w:val="222222"/>
          <w:szCs w:val="24"/>
          <w:lang w:eastAsia="es-CO"/>
        </w:rPr>
        <w:t>Gertler</w:t>
      </w:r>
      <w:proofErr w:type="spellEnd"/>
      <w:r w:rsidRPr="00AD6551">
        <w:rPr>
          <w:rFonts w:ascii="Calibri" w:eastAsia="Times New Roman" w:hAnsi="Calibri" w:cs="Arial"/>
          <w:color w:val="222222"/>
          <w:szCs w:val="24"/>
          <w:lang w:eastAsia="es-CO"/>
        </w:rPr>
        <w:t xml:space="preserve">, P. J., et al. </w:t>
      </w:r>
      <w:r w:rsidRPr="00AD6551">
        <w:rPr>
          <w:rFonts w:ascii="Calibri" w:eastAsia="Times New Roman" w:hAnsi="Calibri" w:cs="Arial"/>
          <w:color w:val="222222"/>
          <w:szCs w:val="24"/>
          <w:lang w:val="fr-FR" w:eastAsia="es-CO"/>
        </w:rPr>
        <w:t xml:space="preserve">(2016). </w:t>
      </w:r>
      <w:hyperlink r:id="rId11" w:history="1">
        <w:r w:rsidRPr="00AD6551">
          <w:rPr>
            <w:rFonts w:ascii="Calibri" w:eastAsia="Times New Roman" w:hAnsi="Calibri" w:cstheme="minorBidi"/>
            <w:color w:val="222222"/>
            <w:szCs w:val="24"/>
            <w:lang w:val="fr-FR" w:eastAsia="es-CO"/>
          </w:rPr>
          <w:t>doi.org/10.1596/978-0-8213-8541-8</w:t>
        </w:r>
      </w:hyperlink>
    </w:p>
    <w:p w14:paraId="64B66C4D" w14:textId="77777777" w:rsidR="00AD6551" w:rsidRPr="00AD6551" w:rsidRDefault="00AD6551" w:rsidP="00AD6551">
      <w:pPr>
        <w:autoSpaceDE w:val="0"/>
        <w:autoSpaceDN w:val="0"/>
        <w:adjustRightInd w:val="0"/>
        <w:jc w:val="both"/>
        <w:rPr>
          <w:rFonts w:ascii="Calibri" w:eastAsia="Times New Roman" w:hAnsi="Calibri" w:cs="Arial"/>
          <w:color w:val="222222"/>
          <w:szCs w:val="24"/>
          <w:lang w:eastAsia="es-CO"/>
        </w:rPr>
      </w:pPr>
      <w:r w:rsidRPr="00AD6551">
        <w:rPr>
          <w:rFonts w:ascii="Calibri" w:eastAsia="Times New Roman" w:hAnsi="Calibri" w:cs="Arial"/>
          <w:color w:val="222222"/>
          <w:szCs w:val="24"/>
          <w:lang w:val="fr-FR" w:eastAsia="es-CO"/>
        </w:rPr>
        <w:t xml:space="preserve">Howland, F., et al. </w:t>
      </w:r>
      <w:r w:rsidRPr="00AD6551">
        <w:rPr>
          <w:rFonts w:ascii="Calibri" w:eastAsia="Times New Roman" w:hAnsi="Calibri" w:cs="Arial"/>
          <w:color w:val="222222"/>
          <w:szCs w:val="24"/>
          <w:lang w:eastAsia="es-CO"/>
        </w:rPr>
        <w:t xml:space="preserve">(2015). Data sharing and use of ICTs in agriculture: working with small farmer groups in Colombia. Knowledge Management for Development Journal 11(2): 44-63 </w:t>
      </w:r>
    </w:p>
    <w:p w14:paraId="4565B996" w14:textId="77777777" w:rsidR="00AD6551" w:rsidRPr="00AD6551" w:rsidRDefault="00AD6551" w:rsidP="00AD6551">
      <w:pPr>
        <w:autoSpaceDE w:val="0"/>
        <w:autoSpaceDN w:val="0"/>
        <w:adjustRightInd w:val="0"/>
        <w:jc w:val="both"/>
        <w:rPr>
          <w:rFonts w:ascii="Calibri" w:eastAsia="Times New Roman" w:hAnsi="Calibri" w:cs="Arial"/>
          <w:color w:val="222222"/>
          <w:szCs w:val="24"/>
          <w:lang w:eastAsia="es-CO"/>
        </w:rPr>
      </w:pPr>
      <w:r w:rsidRPr="00AD6551">
        <w:rPr>
          <w:rFonts w:ascii="Calibri" w:eastAsia="Times New Roman" w:hAnsi="Calibri" w:cs="Arial"/>
          <w:color w:val="222222"/>
          <w:szCs w:val="24"/>
          <w:lang w:eastAsia="es-CO"/>
        </w:rPr>
        <w:t xml:space="preserve">Jiménez, D., et al. (2011). </w:t>
      </w:r>
      <w:r w:rsidRPr="00AD6551">
        <w:rPr>
          <w:rFonts w:ascii="Calibri" w:eastAsia="Times New Roman" w:hAnsi="Calibri" w:cstheme="minorBidi"/>
          <w:color w:val="222222"/>
          <w:szCs w:val="24"/>
          <w:lang w:eastAsia="es-CO"/>
        </w:rPr>
        <w:t>DOI: 10.1016/j.agsy.2010.10.004 · Source: </w:t>
      </w:r>
      <w:proofErr w:type="spellStart"/>
      <w:r w:rsidRPr="00AD6551">
        <w:rPr>
          <w:rFonts w:ascii="Calibri" w:eastAsia="Times New Roman" w:hAnsi="Calibri"/>
          <w:color w:val="222222"/>
          <w:szCs w:val="24"/>
          <w:lang w:eastAsia="es-CO"/>
        </w:rPr>
        <w:fldChar w:fldCharType="begin"/>
      </w:r>
      <w:r w:rsidRPr="00AD6551">
        <w:rPr>
          <w:rFonts w:ascii="Calibri" w:eastAsia="Times New Roman" w:hAnsi="Calibri"/>
          <w:color w:val="222222"/>
          <w:szCs w:val="24"/>
          <w:lang w:eastAsia="es-CO"/>
        </w:rPr>
        <w:instrText xml:space="preserve"> HYPERLINK "https://www.researchgate.net/deref/http%3A%2F%2Fideas.repec.org%2Fcgi-bin%2Fhtsearch%3Fq%3DInterpretation%2Bof%2Bcommercial%2Bproduction%2Binformation%253A%2BA%2Bcase%2Bstudy%2Bof%2Blulo%2B%2528Solanum%2Bquitoense%2529%252C%2Ban%2Bunder-researched%2BAndean%2Bfruit" \t "_blank" </w:instrText>
      </w:r>
      <w:r w:rsidRPr="00AD6551">
        <w:rPr>
          <w:rFonts w:ascii="Calibri" w:eastAsia="Times New Roman" w:hAnsi="Calibri"/>
          <w:color w:val="222222"/>
          <w:szCs w:val="24"/>
          <w:lang w:eastAsia="es-CO"/>
        </w:rPr>
        <w:fldChar w:fldCharType="separate"/>
      </w:r>
      <w:r w:rsidRPr="00AD6551">
        <w:rPr>
          <w:rFonts w:ascii="Calibri" w:eastAsia="Times New Roman" w:hAnsi="Calibri" w:cstheme="minorBidi"/>
          <w:color w:val="222222"/>
          <w:szCs w:val="24"/>
          <w:lang w:eastAsia="es-CO"/>
        </w:rPr>
        <w:t>RePEc</w:t>
      </w:r>
      <w:proofErr w:type="spellEnd"/>
      <w:r w:rsidRPr="00AD6551">
        <w:rPr>
          <w:rFonts w:ascii="Calibri" w:eastAsia="Times New Roman" w:hAnsi="Calibri"/>
          <w:color w:val="222222"/>
          <w:szCs w:val="24"/>
          <w:lang w:eastAsia="es-CO"/>
        </w:rPr>
        <w:fldChar w:fldCharType="end"/>
      </w:r>
    </w:p>
    <w:p w14:paraId="6A8D93BE" w14:textId="77777777" w:rsidR="00AD6551" w:rsidRPr="00AD6551" w:rsidRDefault="00AD6551" w:rsidP="00AD6551">
      <w:pPr>
        <w:autoSpaceDE w:val="0"/>
        <w:autoSpaceDN w:val="0"/>
        <w:adjustRightInd w:val="0"/>
        <w:jc w:val="both"/>
        <w:rPr>
          <w:rFonts w:ascii="Calibri" w:eastAsia="Times New Roman" w:hAnsi="Calibri" w:cs="Arial"/>
          <w:color w:val="222222"/>
          <w:szCs w:val="24"/>
          <w:lang w:eastAsia="es-CO"/>
        </w:rPr>
      </w:pPr>
      <w:r w:rsidRPr="00AD6551">
        <w:rPr>
          <w:rFonts w:ascii="Calibri" w:eastAsia="Times New Roman" w:hAnsi="Calibri" w:cs="Arial"/>
          <w:color w:val="222222"/>
          <w:szCs w:val="24"/>
          <w:lang w:eastAsia="es-CO"/>
        </w:rPr>
        <w:t xml:space="preserve">Somers, S., Stapleton, L., (2012). </w:t>
      </w:r>
      <w:hyperlink r:id="rId12" w:tgtFrame="_blank" w:tooltip="Persistent link using digital object identifier" w:history="1">
        <w:r w:rsidRPr="00AD6551">
          <w:rPr>
            <w:rFonts w:ascii="Calibri" w:eastAsia="Times New Roman" w:hAnsi="Calibri" w:cstheme="minorBidi"/>
            <w:color w:val="222222"/>
            <w:szCs w:val="24"/>
            <w:lang w:eastAsia="es-CO"/>
          </w:rPr>
          <w:t>doi.org/10.3182/20120611-3-IE-4029.00020</w:t>
        </w:r>
      </w:hyperlink>
    </w:p>
    <w:p w14:paraId="44E12761" w14:textId="5DB87A4E" w:rsidR="0082230A" w:rsidRPr="00AD6551" w:rsidRDefault="00AD6551" w:rsidP="00C560F3">
      <w:pPr>
        <w:autoSpaceDE w:val="0"/>
        <w:autoSpaceDN w:val="0"/>
        <w:adjustRightInd w:val="0"/>
        <w:rPr>
          <w:rFonts w:ascii="Calibri" w:hAnsi="Calibri"/>
          <w:szCs w:val="24"/>
        </w:rPr>
      </w:pPr>
      <w:r w:rsidRPr="00AD6551">
        <w:rPr>
          <w:rFonts w:ascii="Calibri" w:eastAsia="Times New Roman" w:hAnsi="Calibri" w:cs="Arial"/>
          <w:color w:val="222222"/>
          <w:szCs w:val="24"/>
          <w:lang w:eastAsia="es-CO"/>
        </w:rPr>
        <w:t>UNDP, (2013). Discussion paper; Innovations in Monitoring &amp; Evaluation.</w:t>
      </w:r>
    </w:p>
    <w:sectPr w:rsidR="0082230A" w:rsidRPr="00AD6551" w:rsidSect="00E91515">
      <w:headerReference w:type="default" r:id="rId13"/>
      <w:footerReference w:type="even" r:id="rId14"/>
      <w:footerReference w:type="default" r:id="rId15"/>
      <w:pgSz w:w="12240" w:h="15840"/>
      <w:pgMar w:top="720" w:right="720" w:bottom="720" w:left="720" w:header="720" w:footer="720" w:gutter="0"/>
      <w:pgBorders>
        <w:top w:val="single" w:sz="4" w:space="1" w:color="auto"/>
        <w:left w:val="single" w:sz="4" w:space="4" w:color="auto"/>
        <w:bottom w:val="single" w:sz="4" w:space="1" w:color="auto"/>
        <w:right w:val="single" w:sz="4" w:space="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88B6D" w14:textId="77777777" w:rsidR="004E3E2A" w:rsidRDefault="004E3E2A" w:rsidP="0082230A">
      <w:r>
        <w:separator/>
      </w:r>
    </w:p>
  </w:endnote>
  <w:endnote w:type="continuationSeparator" w:id="0">
    <w:p w14:paraId="4BEC0654" w14:textId="77777777" w:rsidR="004E3E2A" w:rsidRDefault="004E3E2A" w:rsidP="0082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F1BE2" w14:textId="77777777" w:rsidR="0082230A" w:rsidRDefault="0082230A" w:rsidP="00E21A6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ED7A0E" w14:textId="77777777" w:rsidR="0082230A" w:rsidRDefault="0082230A" w:rsidP="008223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347E7" w14:textId="77777777" w:rsidR="0082230A" w:rsidRPr="0082230A" w:rsidRDefault="0082230A" w:rsidP="00E21A64">
    <w:pPr>
      <w:pStyle w:val="Footer"/>
      <w:framePr w:wrap="none" w:vAnchor="text" w:hAnchor="margin" w:xAlign="right" w:y="1"/>
      <w:rPr>
        <w:rStyle w:val="PageNumber"/>
        <w:rFonts w:asciiTheme="minorHAnsi" w:hAnsiTheme="minorHAnsi"/>
      </w:rPr>
    </w:pPr>
    <w:r w:rsidRPr="0082230A">
      <w:rPr>
        <w:rStyle w:val="PageNumber"/>
        <w:rFonts w:asciiTheme="minorHAnsi" w:hAnsiTheme="minorHAnsi"/>
      </w:rPr>
      <w:t xml:space="preserve">Page </w:t>
    </w:r>
    <w:r w:rsidRPr="0082230A">
      <w:rPr>
        <w:rStyle w:val="PageNumber"/>
        <w:rFonts w:asciiTheme="minorHAnsi" w:hAnsiTheme="minorHAnsi"/>
      </w:rPr>
      <w:fldChar w:fldCharType="begin"/>
    </w:r>
    <w:r w:rsidRPr="0082230A">
      <w:rPr>
        <w:rStyle w:val="PageNumber"/>
        <w:rFonts w:asciiTheme="minorHAnsi" w:hAnsiTheme="minorHAnsi"/>
      </w:rPr>
      <w:instrText xml:space="preserve"> PAGE </w:instrText>
    </w:r>
    <w:r w:rsidRPr="0082230A">
      <w:rPr>
        <w:rStyle w:val="PageNumber"/>
        <w:rFonts w:asciiTheme="minorHAnsi" w:hAnsiTheme="minorHAnsi"/>
      </w:rPr>
      <w:fldChar w:fldCharType="separate"/>
    </w:r>
    <w:r w:rsidR="00E91515">
      <w:rPr>
        <w:rStyle w:val="PageNumber"/>
        <w:rFonts w:asciiTheme="minorHAnsi" w:hAnsiTheme="minorHAnsi"/>
        <w:noProof/>
      </w:rPr>
      <w:t>2</w:t>
    </w:r>
    <w:r w:rsidRPr="0082230A">
      <w:rPr>
        <w:rStyle w:val="PageNumber"/>
        <w:rFonts w:asciiTheme="minorHAnsi" w:hAnsiTheme="minorHAnsi"/>
      </w:rPr>
      <w:fldChar w:fldCharType="end"/>
    </w:r>
    <w:r w:rsidRPr="0082230A">
      <w:rPr>
        <w:rStyle w:val="PageNumber"/>
        <w:rFonts w:asciiTheme="minorHAnsi" w:hAnsiTheme="minorHAnsi"/>
      </w:rPr>
      <w:t xml:space="preserve"> of </w:t>
    </w:r>
    <w:r w:rsidRPr="0082230A">
      <w:rPr>
        <w:rStyle w:val="PageNumber"/>
        <w:rFonts w:asciiTheme="minorHAnsi" w:hAnsiTheme="minorHAnsi"/>
      </w:rPr>
      <w:fldChar w:fldCharType="begin"/>
    </w:r>
    <w:r w:rsidRPr="0082230A">
      <w:rPr>
        <w:rStyle w:val="PageNumber"/>
        <w:rFonts w:asciiTheme="minorHAnsi" w:hAnsiTheme="minorHAnsi"/>
      </w:rPr>
      <w:instrText xml:space="preserve">PAGE  </w:instrText>
    </w:r>
    <w:r w:rsidRPr="0082230A">
      <w:rPr>
        <w:rStyle w:val="PageNumber"/>
        <w:rFonts w:asciiTheme="minorHAnsi" w:hAnsiTheme="minorHAnsi"/>
      </w:rPr>
      <w:fldChar w:fldCharType="separate"/>
    </w:r>
    <w:r w:rsidR="00E91515">
      <w:rPr>
        <w:rStyle w:val="PageNumber"/>
        <w:rFonts w:asciiTheme="minorHAnsi" w:hAnsiTheme="minorHAnsi"/>
        <w:noProof/>
      </w:rPr>
      <w:t>2</w:t>
    </w:r>
    <w:r w:rsidRPr="0082230A">
      <w:rPr>
        <w:rStyle w:val="PageNumber"/>
        <w:rFonts w:asciiTheme="minorHAnsi" w:hAnsiTheme="minorHAnsi"/>
      </w:rPr>
      <w:fldChar w:fldCharType="end"/>
    </w:r>
  </w:p>
  <w:p w14:paraId="669A4381" w14:textId="5DE244E3" w:rsidR="00DA1FE9" w:rsidRPr="0082230A" w:rsidRDefault="00395795" w:rsidP="00DA1FE9">
    <w:pPr>
      <w:pStyle w:val="Footer"/>
      <w:tabs>
        <w:tab w:val="clear" w:pos="4680"/>
        <w:tab w:val="clear" w:pos="9360"/>
        <w:tab w:val="center" w:pos="4500"/>
      </w:tabs>
      <w:ind w:right="360"/>
      <w:rPr>
        <w:rFonts w:asciiTheme="minorHAnsi" w:hAnsiTheme="minorHAnsi"/>
        <w:b/>
      </w:rPr>
    </w:pPr>
    <w:r>
      <w:rPr>
        <w:rFonts w:asciiTheme="minorHAnsi" w:hAnsiTheme="minorHAnsi"/>
        <w:b/>
        <w:noProof/>
        <w:lang w:val="es-CO" w:eastAsia="es-CO"/>
      </w:rPr>
      <mc:AlternateContent>
        <mc:Choice Requires="wps">
          <w:drawing>
            <wp:anchor distT="0" distB="0" distL="114300" distR="114300" simplePos="0" relativeHeight="251659264" behindDoc="0" locked="0" layoutInCell="1" allowOverlap="1" wp14:anchorId="4C79A08A" wp14:editId="23059A15">
              <wp:simplePos x="0" y="0"/>
              <wp:positionH relativeFrom="column">
                <wp:posOffset>1536699</wp:posOffset>
              </wp:positionH>
              <wp:positionV relativeFrom="paragraph">
                <wp:posOffset>39370</wp:posOffset>
              </wp:positionV>
              <wp:extent cx="3277235" cy="5715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3277235" cy="5715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79A08A" id="_x0000_t202" coordsize="21600,21600" o:spt="202" path="m,l,21600r21600,l21600,xe">
              <v:stroke joinstyle="miter"/>
              <v:path gradientshapeok="t" o:connecttype="rect"/>
            </v:shapetype>
            <v:shape id="Text Box 2" o:spid="_x0000_s1026" type="#_x0000_t202" style="position:absolute;margin-left:121pt;margin-top:3.1pt;width:258.05pt;height: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" filled="f" stroked="f">
              <v:textbox>
                <w:txbxContent>
                  <w:p w14:paraId="2594DA5C" w14:textId="4D010874"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CGIAR Platform for Big Data in Agriculture</w:t>
                    </w:r>
                  </w:p>
                  <w:p w14:paraId="28F4CF3A" w14:textId="0B4A68E5" w:rsidR="00395795" w:rsidRPr="00395795" w:rsidRDefault="00395795" w:rsidP="00395795">
                    <w:pPr>
                      <w:jc w:val="center"/>
                      <w:rPr>
                        <w:rFonts w:asciiTheme="minorHAnsi" w:hAnsiTheme="minorHAnsi"/>
                        <w:b/>
                        <w:color w:val="F7941D"/>
                      </w:rPr>
                    </w:pPr>
                    <w:r w:rsidRPr="00395795">
                      <w:rPr>
                        <w:rFonts w:asciiTheme="minorHAnsi" w:hAnsiTheme="minorHAnsi"/>
                        <w:b/>
                        <w:color w:val="F7941D"/>
                      </w:rPr>
                      <w:t>Inspire Challenge Proposal</w:t>
                    </w:r>
                  </w:p>
                </w:txbxContent>
              </v:textbox>
            </v:shape>
          </w:pict>
        </mc:Fallback>
      </mc:AlternateContent>
    </w:r>
    <w:r w:rsidR="00DA1FE9">
      <w:rPr>
        <w:rFonts w:asciiTheme="minorHAnsi" w:hAnsiTheme="minorHAnsi"/>
        <w:b/>
        <w:noProof/>
        <w:lang w:val="es-CO" w:eastAsia="es-CO"/>
      </w:rPr>
      <w:drawing>
        <wp:inline distT="0" distB="0" distL="0" distR="0" wp14:anchorId="271DA01D" wp14:editId="72C46312">
          <wp:extent cx="539496" cy="539496"/>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 on Orange for Signature.png"/>
                  <pic:cNvPicPr/>
                </pic:nvPicPr>
                <pic:blipFill>
                  <a:blip r:embed="rId1">
                    <a:extLst>
                      <a:ext uri="{28A0092B-C50C-407E-A947-70E740481C1C}">
                        <a14:useLocalDpi xmlns:a14="http://schemas.microsoft.com/office/drawing/2010/main" val="0"/>
                      </a:ext>
                    </a:extLst>
                  </a:blip>
                  <a:stretch>
                    <a:fillRect/>
                  </a:stretch>
                </pic:blipFill>
                <pic:spPr>
                  <a:xfrm>
                    <a:off x="0" y="0"/>
                    <a:ext cx="539496" cy="539496"/>
                  </a:xfrm>
                  <a:prstGeom prst="rect">
                    <a:avLst/>
                  </a:prstGeom>
                </pic:spPr>
              </pic:pic>
            </a:graphicData>
          </a:graphic>
        </wp:inline>
      </w:drawing>
    </w:r>
  </w:p>
  <w:p w14:paraId="471C9CDB" w14:textId="790E3E61" w:rsidR="0082230A" w:rsidRPr="0082230A" w:rsidRDefault="0082230A" w:rsidP="0082230A">
    <w:pPr>
      <w:pStyle w:val="Footer"/>
      <w:tabs>
        <w:tab w:val="clear" w:pos="4680"/>
        <w:tab w:val="clear" w:pos="9360"/>
        <w:tab w:val="center" w:pos="4500"/>
      </w:tabs>
      <w:ind w:right="360"/>
      <w:jc w:val="center"/>
      <w:rPr>
        <w:rFonts w:asciiTheme="minorHAnsi" w:hAnsiTheme="minorHAnsi"/>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6C77A" w14:textId="77777777" w:rsidR="004E3E2A" w:rsidRDefault="004E3E2A" w:rsidP="0082230A">
      <w:r>
        <w:separator/>
      </w:r>
    </w:p>
  </w:footnote>
  <w:footnote w:type="continuationSeparator" w:id="0">
    <w:p w14:paraId="11788A57" w14:textId="77777777" w:rsidR="004E3E2A" w:rsidRDefault="004E3E2A" w:rsidP="00822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B0B19" w14:textId="39159A40" w:rsidR="0082230A" w:rsidRPr="00EC0A3B" w:rsidRDefault="00AD6551">
    <w:pPr>
      <w:pStyle w:val="Header"/>
      <w:rPr>
        <w:rFonts w:asciiTheme="minorHAnsi" w:hAnsiTheme="minorHAnsi"/>
        <w:b/>
      </w:rPr>
    </w:pPr>
    <w:r>
      <w:rPr>
        <w:noProof/>
        <w:color w:val="0000FF"/>
        <w:lang w:val="es-CO" w:eastAsia="es-CO"/>
      </w:rPr>
      <w:drawing>
        <wp:anchor distT="0" distB="0" distL="114300" distR="114300" simplePos="0" relativeHeight="251662336" behindDoc="1" locked="0" layoutInCell="1" allowOverlap="1" wp14:anchorId="55FAAABB" wp14:editId="121C4314">
          <wp:simplePos x="0" y="0"/>
          <wp:positionH relativeFrom="column">
            <wp:posOffset>4940300</wp:posOffset>
          </wp:positionH>
          <wp:positionV relativeFrom="paragraph">
            <wp:posOffset>-368300</wp:posOffset>
          </wp:positionV>
          <wp:extent cx="1631950" cy="485775"/>
          <wp:effectExtent l="0" t="0" r="6350" b="9525"/>
          <wp:wrapTight wrapText="bothSides">
            <wp:wrapPolygon edited="0">
              <wp:start x="0" y="0"/>
              <wp:lineTo x="0" y="21176"/>
              <wp:lineTo x="21432" y="21176"/>
              <wp:lineTo x="21432" y="0"/>
              <wp:lineTo x="0" y="0"/>
            </wp:wrapPolygon>
          </wp:wrapTight>
          <wp:docPr id="73" name="Picture 73" descr="Résultats de recherche d'images pour « logo fedearroz »">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s de recherche d'images pour « logo fedearroz »">
                    <a:hlinkClick r:id="rId1"/>
                  </pic:cNvPr>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a:stretch/>
                </pic:blipFill>
                <pic:spPr bwMode="auto">
                  <a:xfrm>
                    <a:off x="0" y="0"/>
                    <a:ext cx="1631950" cy="485775"/>
                  </a:xfrm>
                  <a:prstGeom prst="rect">
                    <a:avLst/>
                  </a:prstGeom>
                  <a:noFill/>
                  <a:ln>
                    <a:noFill/>
                  </a:ln>
                  <a:extLst>
                    <a:ext uri="{53640926-AAD7-44D8-BBD7-CCE9431645EC}">
                      <a14:shadowObscured xmlns:a14="http://schemas.microsoft.com/office/drawing/2010/main"/>
                    </a:ext>
                  </a:extLst>
                </pic:spPr>
              </pic:pic>
            </a:graphicData>
          </a:graphic>
        </wp:anchor>
      </w:drawing>
    </w:r>
    <w:r>
      <w:rPr>
        <w:noProof/>
        <w:color w:val="0000FF"/>
        <w:lang w:val="es-CO" w:eastAsia="es-CO"/>
      </w:rPr>
      <w:drawing>
        <wp:anchor distT="0" distB="0" distL="114300" distR="114300" simplePos="0" relativeHeight="251661312" behindDoc="1" locked="0" layoutInCell="1" allowOverlap="1" wp14:anchorId="347D8F35" wp14:editId="6CA6CC5B">
          <wp:simplePos x="0" y="0"/>
          <wp:positionH relativeFrom="column">
            <wp:posOffset>2330450</wp:posOffset>
          </wp:positionH>
          <wp:positionV relativeFrom="paragraph">
            <wp:posOffset>-368300</wp:posOffset>
          </wp:positionV>
          <wp:extent cx="977900" cy="486410"/>
          <wp:effectExtent l="0" t="0" r="0" b="8890"/>
          <wp:wrapTight wrapText="bothSides">
            <wp:wrapPolygon edited="0">
              <wp:start x="0" y="0"/>
              <wp:lineTo x="0" y="21149"/>
              <wp:lineTo x="21039" y="21149"/>
              <wp:lineTo x="21039" y="0"/>
              <wp:lineTo x="0" y="0"/>
            </wp:wrapPolygon>
          </wp:wrapTight>
          <wp:docPr id="72" name="Picture 72" descr="Image associé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associée">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7900" cy="486410"/>
                  </a:xfrm>
                  <a:prstGeom prst="rect">
                    <a:avLst/>
                  </a:prstGeom>
                  <a:noFill/>
                  <a:ln>
                    <a:noFill/>
                  </a:ln>
                </pic:spPr>
              </pic:pic>
            </a:graphicData>
          </a:graphic>
        </wp:anchor>
      </w:drawing>
    </w:r>
    <w:r>
      <w:rPr>
        <w:noProof/>
        <w:color w:val="0000FF"/>
        <w:lang w:val="es-CO" w:eastAsia="es-CO"/>
      </w:rPr>
      <w:drawing>
        <wp:anchor distT="0" distB="0" distL="114300" distR="114300" simplePos="0" relativeHeight="251660288" behindDoc="0" locked="0" layoutInCell="1" allowOverlap="1" wp14:anchorId="57F95CFA" wp14:editId="1D613010">
          <wp:simplePos x="0" y="0"/>
          <wp:positionH relativeFrom="column">
            <wp:posOffset>464</wp:posOffset>
          </wp:positionH>
          <wp:positionV relativeFrom="paragraph">
            <wp:posOffset>-366395</wp:posOffset>
          </wp:positionV>
          <wp:extent cx="895350" cy="366585"/>
          <wp:effectExtent l="0" t="0" r="0" b="0"/>
          <wp:wrapSquare wrapText="bothSides"/>
          <wp:docPr id="71" name="Picture 71" descr="Résultats de recherche d'images pour « logo ciat »">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ésultats de recherche d'images pour « logo ciat »">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366585"/>
                  </a:xfrm>
                  <a:prstGeom prst="rect">
                    <a:avLst/>
                  </a:prstGeom>
                  <a:noFill/>
                  <a:ln>
                    <a:noFill/>
                  </a:ln>
                </pic:spPr>
              </pic:pic>
            </a:graphicData>
          </a:graphic>
        </wp:anchor>
      </w:drawing>
    </w:r>
    <w:r>
      <w:rPr>
        <w:rFonts w:asciiTheme="minorHAnsi" w:hAnsiTheme="minorHAnsi"/>
        <w:b/>
      </w:rPr>
      <w:tab/>
    </w:r>
    <w:r>
      <w:rPr>
        <w:rFonts w:asciiTheme="minorHAnsi" w:hAnsiTheme="minorHAnsi"/>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965E6"/>
    <w:multiLevelType w:val="multilevel"/>
    <w:tmpl w:val="CC40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17373FB"/>
    <w:multiLevelType w:val="hybridMultilevel"/>
    <w:tmpl w:val="4D620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E29B5"/>
    <w:multiLevelType w:val="multilevel"/>
    <w:tmpl w:val="8FAA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5D1C07"/>
    <w:multiLevelType w:val="multilevel"/>
    <w:tmpl w:val="F4E48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6E7233"/>
    <w:multiLevelType w:val="multilevel"/>
    <w:tmpl w:val="D8FA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30A"/>
    <w:rsid w:val="000D2BB2"/>
    <w:rsid w:val="000D6E0A"/>
    <w:rsid w:val="00131D73"/>
    <w:rsid w:val="002E62D8"/>
    <w:rsid w:val="003444A1"/>
    <w:rsid w:val="00395795"/>
    <w:rsid w:val="003C3EAD"/>
    <w:rsid w:val="003D0653"/>
    <w:rsid w:val="00422901"/>
    <w:rsid w:val="00430BF5"/>
    <w:rsid w:val="00451A58"/>
    <w:rsid w:val="004A1DA3"/>
    <w:rsid w:val="004E3E2A"/>
    <w:rsid w:val="00565D07"/>
    <w:rsid w:val="006F610C"/>
    <w:rsid w:val="007039F9"/>
    <w:rsid w:val="007C110C"/>
    <w:rsid w:val="007D4C87"/>
    <w:rsid w:val="00817529"/>
    <w:rsid w:val="0082230A"/>
    <w:rsid w:val="00983989"/>
    <w:rsid w:val="009D5B23"/>
    <w:rsid w:val="00A46665"/>
    <w:rsid w:val="00A66B7B"/>
    <w:rsid w:val="00AC7362"/>
    <w:rsid w:val="00AD6551"/>
    <w:rsid w:val="00AD68F1"/>
    <w:rsid w:val="00AE6E49"/>
    <w:rsid w:val="00BF1F92"/>
    <w:rsid w:val="00C560F3"/>
    <w:rsid w:val="00C93659"/>
    <w:rsid w:val="00D076E4"/>
    <w:rsid w:val="00DA1FE9"/>
    <w:rsid w:val="00E053E8"/>
    <w:rsid w:val="00E540C1"/>
    <w:rsid w:val="00E91515"/>
    <w:rsid w:val="00EA2C82"/>
    <w:rsid w:val="00EC0A3B"/>
    <w:rsid w:val="00ED2DB1"/>
    <w:rsid w:val="00F87D3B"/>
    <w:rsid w:val="00FD08EE"/>
    <w:rsid w:val="00FD4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E6BB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
    <w:qFormat/>
    <w:rsid w:val="0082230A"/>
    <w:rPr>
      <w:rFonts w:ascii="Book Antiqua" w:eastAsia="MS Mincho" w:hAnsi="Book Antiqua" w:cs="Times New Roman"/>
      <w:szCs w:val="20"/>
      <w:lang w:eastAsia="ja-JP"/>
    </w:rPr>
  </w:style>
  <w:style w:type="paragraph" w:styleId="Heading1">
    <w:name w:val="heading 1"/>
    <w:basedOn w:val="Normal"/>
    <w:next w:val="Normal"/>
    <w:link w:val="Heading1Char"/>
    <w:uiPriority w:val="9"/>
    <w:qFormat/>
    <w:rsid w:val="00AD6551"/>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s-C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30A"/>
    <w:pPr>
      <w:tabs>
        <w:tab w:val="center" w:pos="4680"/>
        <w:tab w:val="right" w:pos="9360"/>
      </w:tabs>
    </w:pPr>
  </w:style>
  <w:style w:type="character" w:customStyle="1" w:styleId="HeaderChar">
    <w:name w:val="Header Char"/>
    <w:basedOn w:val="DefaultParagraphFont"/>
    <w:link w:val="Header"/>
    <w:uiPriority w:val="99"/>
    <w:rsid w:val="0082230A"/>
  </w:style>
  <w:style w:type="paragraph" w:styleId="Footer">
    <w:name w:val="footer"/>
    <w:basedOn w:val="Normal"/>
    <w:link w:val="FooterChar"/>
    <w:uiPriority w:val="99"/>
    <w:unhideWhenUsed/>
    <w:rsid w:val="0082230A"/>
    <w:pPr>
      <w:tabs>
        <w:tab w:val="center" w:pos="4680"/>
        <w:tab w:val="right" w:pos="9360"/>
      </w:tabs>
    </w:pPr>
  </w:style>
  <w:style w:type="character" w:customStyle="1" w:styleId="FooterChar">
    <w:name w:val="Footer Char"/>
    <w:basedOn w:val="DefaultParagraphFont"/>
    <w:link w:val="Footer"/>
    <w:uiPriority w:val="99"/>
    <w:rsid w:val="0082230A"/>
  </w:style>
  <w:style w:type="character" w:styleId="PageNumber">
    <w:name w:val="page number"/>
    <w:basedOn w:val="DefaultParagraphFont"/>
    <w:uiPriority w:val="99"/>
    <w:semiHidden/>
    <w:unhideWhenUsed/>
    <w:rsid w:val="0082230A"/>
  </w:style>
  <w:style w:type="character" w:customStyle="1" w:styleId="Heading1Char">
    <w:name w:val="Heading 1 Char"/>
    <w:basedOn w:val="DefaultParagraphFont"/>
    <w:link w:val="Heading1"/>
    <w:uiPriority w:val="9"/>
    <w:rsid w:val="00AD6551"/>
    <w:rPr>
      <w:rFonts w:asciiTheme="majorHAnsi" w:eastAsiaTheme="majorEastAsia" w:hAnsiTheme="majorHAnsi" w:cstheme="majorBidi"/>
      <w:color w:val="2F5496" w:themeColor="accent1" w:themeShade="BF"/>
      <w:sz w:val="32"/>
      <w:szCs w:val="3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232385">
      <w:bodyDiv w:val="1"/>
      <w:marLeft w:val="0"/>
      <w:marRight w:val="0"/>
      <w:marTop w:val="0"/>
      <w:marBottom w:val="0"/>
      <w:divBdr>
        <w:top w:val="none" w:sz="0" w:space="0" w:color="auto"/>
        <w:left w:val="none" w:sz="0" w:space="0" w:color="auto"/>
        <w:bottom w:val="none" w:sz="0" w:space="0" w:color="auto"/>
        <w:right w:val="none" w:sz="0" w:space="0" w:color="auto"/>
      </w:divBdr>
    </w:div>
    <w:div w:id="1995448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182/20120611-3-IE-4029.000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96/978-0-8213-8541-8"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doi.org/10.1371/journal.pone.0161620" TargetMode="External"/><Relationship Id="rId4" Type="http://schemas.openxmlformats.org/officeDocument/2006/relationships/settings" Target="settings.xml"/><Relationship Id="rId9" Type="http://schemas.openxmlformats.org/officeDocument/2006/relationships/hyperlink" Target="https://doi.org/10.1016/j.agsy.2011.07.001"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hyperlink" Target="http://www.google.com.co/url?sa=i&amp;rct=j&amp;q=&amp;esrc=s&amp;source=images&amp;cd=&amp;cad=rja&amp;uact=8&amp;ved=0ahUKEwiWqbm7l5bWAhUCxGMKHQiYBGcQjRwIBw&amp;url=http://mooc.tela-botanica.org/course/view.php?id%3D2&amp;psig=AFQjCNGIXG6bVR8s2UWEPHQIXSrzbUbP7A&amp;ust=1504980509865849" TargetMode="External"/><Relationship Id="rId2" Type="http://schemas.openxmlformats.org/officeDocument/2006/relationships/image" Target="media/image2.png"/><Relationship Id="rId1" Type="http://schemas.openxmlformats.org/officeDocument/2006/relationships/hyperlink" Target="http://www.google.com.co/url?sa=i&amp;rct=j&amp;q=&amp;esrc=s&amp;source=images&amp;cd=&amp;ved=0ahUKEwjl9aDyl5bWAhUFwWMKHfAjCHkQjRwIBw&amp;url=http://www.revistaialimentos.com/guia/federacion-colombiana-de-arroceros.html&amp;psig=AFQjCNGk5a5ypN81Ik7Sv28li1ZDvG8YNw&amp;ust=1504980543812072" TargetMode="External"/><Relationship Id="rId6" Type="http://schemas.openxmlformats.org/officeDocument/2006/relationships/image" Target="media/image4.png"/><Relationship Id="rId5" Type="http://schemas.openxmlformats.org/officeDocument/2006/relationships/hyperlink" Target="http://www.google.com.co/url?sa=i&amp;rct=j&amp;q=&amp;esrc=s&amp;source=images&amp;cd=&amp;cad=rja&amp;uact=8&amp;ved=0ahUKEwj44J6rl5bWAhUC4mMKHf_cB4sQjRwIBw&amp;url=http://blog.ciat.cgiar.org/es/ciat50/&amp;psig=AFQjCNE8MSWfhFreFm7h0pKzPM9nsUUsNA&amp;ust=1504980461456623" TargetMode="External"/><Relationship Id="rId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BDA90F1-9398-4D80-899D-0F440FDA8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1092</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brendan.moroso</dc:creator>
  <cp:keywords/>
  <dc:description/>
  <cp:lastModifiedBy>Howland, Fanny Cecile (CIAT)</cp:lastModifiedBy>
  <cp:revision>13</cp:revision>
  <dcterms:created xsi:type="dcterms:W3CDTF">2017-09-08T18:31:00Z</dcterms:created>
  <dcterms:modified xsi:type="dcterms:W3CDTF">2017-09-08T21:30:00Z</dcterms:modified>
</cp:coreProperties>
</file>