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8071E" w14:textId="5D12DD57" w:rsidR="00D262AC" w:rsidRPr="00D262AC" w:rsidRDefault="00D262AC" w:rsidP="007667BB">
      <w:pPr>
        <w:autoSpaceDE w:val="0"/>
        <w:autoSpaceDN w:val="0"/>
        <w:adjustRightInd w:val="0"/>
        <w:rPr>
          <w:rFonts w:asciiTheme="minorHAnsi" w:hAnsiTheme="minorHAnsi"/>
          <w:b/>
        </w:rPr>
      </w:pPr>
      <w:r>
        <w:rPr>
          <w:rFonts w:asciiTheme="minorHAnsi" w:hAnsiTheme="minorHAnsi"/>
          <w:b/>
        </w:rPr>
        <w:t xml:space="preserve">THE IDEA: MAPPING </w:t>
      </w:r>
      <w:bookmarkStart w:id="0" w:name="_GoBack"/>
      <w:bookmarkEnd w:id="0"/>
      <w:r>
        <w:rPr>
          <w:rFonts w:asciiTheme="minorHAnsi" w:hAnsiTheme="minorHAnsi"/>
          <w:b/>
        </w:rPr>
        <w:t xml:space="preserve">FORESTS </w:t>
      </w:r>
      <w:r w:rsidR="00A96F7C">
        <w:rPr>
          <w:rFonts w:asciiTheme="minorHAnsi" w:hAnsiTheme="minorHAnsi"/>
          <w:b/>
        </w:rPr>
        <w:t xml:space="preserve">THAT CONTRIBUTE TO </w:t>
      </w:r>
      <w:r w:rsidR="00277B7D">
        <w:rPr>
          <w:rFonts w:asciiTheme="minorHAnsi" w:hAnsiTheme="minorHAnsi"/>
          <w:b/>
        </w:rPr>
        <w:t>NUTRITION</w:t>
      </w:r>
      <w:r>
        <w:rPr>
          <w:rFonts w:asciiTheme="minorHAnsi" w:hAnsiTheme="minorHAnsi"/>
          <w:b/>
        </w:rPr>
        <w:t xml:space="preserve"> RESILIENCE</w:t>
      </w:r>
    </w:p>
    <w:p w14:paraId="06219D2A" w14:textId="6ECE130E" w:rsidR="00B9563B" w:rsidRDefault="00EA6272" w:rsidP="009A1017">
      <w:pPr>
        <w:autoSpaceDE w:val="0"/>
        <w:autoSpaceDN w:val="0"/>
        <w:adjustRightInd w:val="0"/>
        <w:ind w:firstLine="720"/>
        <w:rPr>
          <w:rFonts w:asciiTheme="minorHAnsi" w:hAnsiTheme="minorHAnsi"/>
        </w:rPr>
      </w:pPr>
      <w:r w:rsidRPr="004B38C1">
        <w:rPr>
          <w:rFonts w:asciiTheme="minorHAnsi" w:hAnsiTheme="minorHAnsi"/>
        </w:rPr>
        <w:t>Th</w:t>
      </w:r>
      <w:r>
        <w:rPr>
          <w:rFonts w:asciiTheme="minorHAnsi" w:hAnsiTheme="minorHAnsi"/>
        </w:rPr>
        <w:t>ere is a well-</w:t>
      </w:r>
      <w:r w:rsidR="00277B7D">
        <w:rPr>
          <w:rFonts w:asciiTheme="minorHAnsi" w:hAnsiTheme="minorHAnsi"/>
        </w:rPr>
        <w:t>documented</w:t>
      </w:r>
      <w:r>
        <w:rPr>
          <w:rFonts w:asciiTheme="minorHAnsi" w:hAnsiTheme="minorHAnsi"/>
        </w:rPr>
        <w:t xml:space="preserve"> link between low</w:t>
      </w:r>
      <w:r w:rsidRPr="004B38C1">
        <w:rPr>
          <w:rFonts w:asciiTheme="minorHAnsi" w:hAnsiTheme="minorHAnsi"/>
        </w:rPr>
        <w:t xml:space="preserve"> precipitation </w:t>
      </w:r>
      <w:r>
        <w:rPr>
          <w:rFonts w:asciiTheme="minorHAnsi" w:hAnsiTheme="minorHAnsi"/>
        </w:rPr>
        <w:t xml:space="preserve">and </w:t>
      </w:r>
      <w:r w:rsidR="00277B7D">
        <w:rPr>
          <w:rFonts w:asciiTheme="minorHAnsi" w:hAnsiTheme="minorHAnsi"/>
        </w:rPr>
        <w:t>increased malnutrition</w:t>
      </w:r>
      <w:r w:rsidRPr="004B38C1">
        <w:rPr>
          <w:rFonts w:asciiTheme="minorHAnsi" w:hAnsiTheme="minorHAnsi"/>
        </w:rPr>
        <w:t xml:space="preserve"> </w:t>
      </w:r>
      <w:r>
        <w:rPr>
          <w:rFonts w:asciiTheme="minorHAnsi" w:hAnsiTheme="minorHAnsi"/>
        </w:rPr>
        <w:t xml:space="preserve">among agricultural communities </w:t>
      </w:r>
      <w:r w:rsidRPr="004B38C1">
        <w:rPr>
          <w:rFonts w:asciiTheme="minorHAnsi" w:hAnsiTheme="minorHAnsi"/>
        </w:rPr>
        <w:t>in the developing world</w:t>
      </w:r>
      <w:r w:rsidR="00ED7763">
        <w:rPr>
          <w:rFonts w:asciiTheme="minorHAnsi" w:hAnsiTheme="minorHAnsi"/>
        </w:rPr>
        <w:t>.</w:t>
      </w:r>
      <w:r w:rsidRPr="004B38C1">
        <w:rPr>
          <w:rStyle w:val="FootnoteReference"/>
          <w:rFonts w:asciiTheme="minorHAnsi" w:hAnsiTheme="minorHAnsi"/>
        </w:rPr>
        <w:footnoteReference w:id="1"/>
      </w:r>
      <w:r w:rsidRPr="004B38C1">
        <w:rPr>
          <w:rFonts w:asciiTheme="minorHAnsi" w:hAnsiTheme="minorHAnsi"/>
        </w:rPr>
        <w:t xml:space="preserve"> </w:t>
      </w:r>
      <w:r w:rsidR="00277B7D">
        <w:rPr>
          <w:rFonts w:asciiTheme="minorHAnsi" w:hAnsiTheme="minorHAnsi"/>
        </w:rPr>
        <w:t xml:space="preserve">In </w:t>
      </w:r>
      <w:r w:rsidR="00253A96">
        <w:rPr>
          <w:rFonts w:asciiTheme="minorHAnsi" w:hAnsiTheme="minorHAnsi"/>
        </w:rPr>
        <w:t>areas</w:t>
      </w:r>
      <w:r w:rsidR="00277B7D">
        <w:rPr>
          <w:rFonts w:asciiTheme="minorHAnsi" w:hAnsiTheme="minorHAnsi"/>
        </w:rPr>
        <w:t xml:space="preserve"> wher</w:t>
      </w:r>
      <w:r w:rsidR="00253A96">
        <w:rPr>
          <w:rFonts w:asciiTheme="minorHAnsi" w:hAnsiTheme="minorHAnsi"/>
        </w:rPr>
        <w:t>e subsistence farming is common</w:t>
      </w:r>
      <w:r w:rsidR="00277B7D">
        <w:rPr>
          <w:rFonts w:asciiTheme="minorHAnsi" w:hAnsiTheme="minorHAnsi"/>
        </w:rPr>
        <w:t xml:space="preserve"> even small rainfall deficits can lead to lower yields </w:t>
      </w:r>
      <w:r w:rsidR="00EE32D1">
        <w:rPr>
          <w:rFonts w:asciiTheme="minorHAnsi" w:hAnsiTheme="minorHAnsi"/>
        </w:rPr>
        <w:t xml:space="preserve">and </w:t>
      </w:r>
      <w:r w:rsidR="00277B7D">
        <w:rPr>
          <w:rFonts w:asciiTheme="minorHAnsi" w:hAnsiTheme="minorHAnsi"/>
        </w:rPr>
        <w:t>ultimately lower intake of calories and nutrients.</w:t>
      </w:r>
      <w:r w:rsidR="009044B1">
        <w:rPr>
          <w:rFonts w:asciiTheme="minorHAnsi" w:hAnsiTheme="minorHAnsi"/>
        </w:rPr>
        <w:t xml:space="preserve"> </w:t>
      </w:r>
      <w:r w:rsidR="00027605">
        <w:rPr>
          <w:rFonts w:asciiTheme="minorHAnsi" w:hAnsiTheme="minorHAnsi"/>
        </w:rPr>
        <w:t>One factor that helps to mitigate the effects of precipitation shortfalls on nutrition outcomes is the presence of forests and other natural land cover types</w:t>
      </w:r>
      <w:r w:rsidR="00BF2280">
        <w:rPr>
          <w:rFonts w:asciiTheme="minorHAnsi" w:hAnsiTheme="minorHAnsi"/>
        </w:rPr>
        <w:t>.</w:t>
      </w:r>
      <w:r w:rsidR="00B9563B">
        <w:rPr>
          <w:rFonts w:asciiTheme="minorHAnsi" w:hAnsiTheme="minorHAnsi"/>
        </w:rPr>
        <w:t xml:space="preserve"> </w:t>
      </w:r>
      <w:r w:rsidR="00BF2280">
        <w:rPr>
          <w:rFonts w:asciiTheme="minorHAnsi" w:hAnsiTheme="minorHAnsi"/>
        </w:rPr>
        <w:t xml:space="preserve">A significant body of literature shows how </w:t>
      </w:r>
      <w:r w:rsidR="00B9563B">
        <w:rPr>
          <w:rFonts w:asciiTheme="minorHAnsi" w:hAnsiTheme="minorHAnsi"/>
        </w:rPr>
        <w:t>these areas</w:t>
      </w:r>
      <w:r w:rsidR="00027605">
        <w:rPr>
          <w:rFonts w:asciiTheme="minorHAnsi" w:hAnsiTheme="minorHAnsi"/>
        </w:rPr>
        <w:t xml:space="preserve"> contribute </w:t>
      </w:r>
      <w:r w:rsidR="00BF2280">
        <w:rPr>
          <w:rFonts w:asciiTheme="minorHAnsi" w:hAnsiTheme="minorHAnsi"/>
        </w:rPr>
        <w:t xml:space="preserve">both </w:t>
      </w:r>
      <w:r w:rsidR="00027605">
        <w:rPr>
          <w:rFonts w:asciiTheme="minorHAnsi" w:hAnsiTheme="minorHAnsi"/>
        </w:rPr>
        <w:t>provisioning ecosystem services in the form of wild foods as well as regulating ecosystem services that can make agriculture more resilient to climate shocks</w:t>
      </w:r>
      <w:r w:rsidR="00ED7763">
        <w:rPr>
          <w:rFonts w:asciiTheme="minorHAnsi" w:hAnsiTheme="minorHAnsi"/>
        </w:rPr>
        <w:t>.</w:t>
      </w:r>
      <w:r w:rsidR="00BF2280">
        <w:rPr>
          <w:rStyle w:val="FootnoteReference"/>
          <w:rFonts w:asciiTheme="minorHAnsi" w:hAnsiTheme="minorHAnsi"/>
        </w:rPr>
        <w:footnoteReference w:id="2"/>
      </w:r>
      <w:r w:rsidR="009044B1">
        <w:rPr>
          <w:rFonts w:asciiTheme="minorHAnsi" w:hAnsiTheme="minorHAnsi"/>
        </w:rPr>
        <w:t xml:space="preserve"> </w:t>
      </w:r>
      <w:r w:rsidR="00B9563B">
        <w:rPr>
          <w:rFonts w:asciiTheme="minorHAnsi" w:hAnsiTheme="minorHAnsi"/>
        </w:rPr>
        <w:t>Wild f</w:t>
      </w:r>
      <w:r w:rsidR="00B9563B" w:rsidRPr="004B38C1">
        <w:rPr>
          <w:rFonts w:asciiTheme="minorHAnsi" w:hAnsiTheme="minorHAnsi"/>
        </w:rPr>
        <w:t xml:space="preserve">oods like </w:t>
      </w:r>
      <w:proofErr w:type="spellStart"/>
      <w:r w:rsidR="00B9563B" w:rsidRPr="004B38C1">
        <w:rPr>
          <w:rFonts w:asciiTheme="minorHAnsi" w:hAnsiTheme="minorHAnsi"/>
        </w:rPr>
        <w:t>bush</w:t>
      </w:r>
      <w:r w:rsidR="00B9563B">
        <w:rPr>
          <w:rFonts w:asciiTheme="minorHAnsi" w:hAnsiTheme="minorHAnsi"/>
        </w:rPr>
        <w:t>meat</w:t>
      </w:r>
      <w:proofErr w:type="spellEnd"/>
      <w:r w:rsidR="00B9563B">
        <w:rPr>
          <w:rFonts w:asciiTheme="minorHAnsi" w:hAnsiTheme="minorHAnsi"/>
        </w:rPr>
        <w:t>, fish, insects, vegetables</w:t>
      </w:r>
      <w:r w:rsidR="00B9563B" w:rsidRPr="004B38C1">
        <w:rPr>
          <w:rFonts w:asciiTheme="minorHAnsi" w:hAnsiTheme="minorHAnsi"/>
        </w:rPr>
        <w:t xml:space="preserve">, nuts, </w:t>
      </w:r>
      <w:r w:rsidR="00ED7763">
        <w:rPr>
          <w:rFonts w:asciiTheme="minorHAnsi" w:hAnsiTheme="minorHAnsi"/>
        </w:rPr>
        <w:t xml:space="preserve">and </w:t>
      </w:r>
      <w:r w:rsidR="00B9563B" w:rsidRPr="004B38C1">
        <w:rPr>
          <w:rFonts w:asciiTheme="minorHAnsi" w:hAnsiTheme="minorHAnsi"/>
        </w:rPr>
        <w:t xml:space="preserve">seeds, are </w:t>
      </w:r>
      <w:r w:rsidR="009A1017">
        <w:rPr>
          <w:rFonts w:asciiTheme="minorHAnsi" w:hAnsiTheme="minorHAnsi"/>
        </w:rPr>
        <w:t>important</w:t>
      </w:r>
      <w:r w:rsidR="00B9563B">
        <w:rPr>
          <w:rFonts w:asciiTheme="minorHAnsi" w:hAnsiTheme="minorHAnsi"/>
        </w:rPr>
        <w:t xml:space="preserve"> resource</w:t>
      </w:r>
      <w:r w:rsidR="009A1017">
        <w:rPr>
          <w:rFonts w:asciiTheme="minorHAnsi" w:hAnsiTheme="minorHAnsi"/>
        </w:rPr>
        <w:t>s</w:t>
      </w:r>
      <w:r w:rsidR="00B9563B">
        <w:rPr>
          <w:rFonts w:asciiTheme="minorHAnsi" w:hAnsiTheme="minorHAnsi"/>
        </w:rPr>
        <w:t xml:space="preserve"> for agrarian people</w:t>
      </w:r>
      <w:r w:rsidR="00BF2280">
        <w:rPr>
          <w:rStyle w:val="FootnoteReference"/>
          <w:rFonts w:asciiTheme="minorHAnsi" w:hAnsiTheme="minorHAnsi"/>
        </w:rPr>
        <w:footnoteReference w:id="3"/>
      </w:r>
      <w:r w:rsidR="00B9563B">
        <w:rPr>
          <w:rFonts w:asciiTheme="minorHAnsi" w:hAnsiTheme="minorHAnsi"/>
        </w:rPr>
        <w:t>, especially during years of decreased agricultural output</w:t>
      </w:r>
      <w:r w:rsidR="00ED7763">
        <w:rPr>
          <w:rFonts w:asciiTheme="minorHAnsi" w:hAnsiTheme="minorHAnsi"/>
        </w:rPr>
        <w:t>.</w:t>
      </w:r>
      <w:r w:rsidR="00BF2280">
        <w:rPr>
          <w:rStyle w:val="FootnoteReference"/>
          <w:rFonts w:asciiTheme="minorHAnsi" w:hAnsiTheme="minorHAnsi"/>
        </w:rPr>
        <w:footnoteReference w:id="4"/>
      </w:r>
      <w:r w:rsidR="00B9563B">
        <w:rPr>
          <w:rFonts w:asciiTheme="minorHAnsi" w:hAnsiTheme="minorHAnsi"/>
        </w:rPr>
        <w:t xml:space="preserve"> In addition, forests can buffer agriculture against </w:t>
      </w:r>
      <w:r w:rsidR="004B7530">
        <w:rPr>
          <w:rFonts w:asciiTheme="minorHAnsi" w:hAnsiTheme="minorHAnsi"/>
        </w:rPr>
        <w:t xml:space="preserve">the </w:t>
      </w:r>
      <w:r w:rsidR="00B9563B">
        <w:rPr>
          <w:rFonts w:asciiTheme="minorHAnsi" w:hAnsiTheme="minorHAnsi"/>
        </w:rPr>
        <w:t>impacts of drought by retaining soil moisture</w:t>
      </w:r>
      <w:r w:rsidR="00BF2280">
        <w:rPr>
          <w:rFonts w:asciiTheme="minorHAnsi" w:hAnsiTheme="minorHAnsi"/>
        </w:rPr>
        <w:t>, facilitating nutrient cycling</w:t>
      </w:r>
      <w:r w:rsidR="00B9563B">
        <w:rPr>
          <w:rFonts w:asciiTheme="minorHAnsi" w:hAnsiTheme="minorHAnsi"/>
        </w:rPr>
        <w:t xml:space="preserve"> and regulating pests that can attack weakened crops</w:t>
      </w:r>
      <w:r w:rsidR="00ED7763">
        <w:rPr>
          <w:rFonts w:asciiTheme="minorHAnsi" w:hAnsiTheme="minorHAnsi"/>
        </w:rPr>
        <w:t>.</w:t>
      </w:r>
      <w:r w:rsidR="00BF2280">
        <w:rPr>
          <w:rStyle w:val="FootnoteReference"/>
          <w:rFonts w:asciiTheme="minorHAnsi" w:hAnsiTheme="minorHAnsi"/>
        </w:rPr>
        <w:footnoteReference w:id="5"/>
      </w:r>
      <w:r w:rsidR="009044B1">
        <w:rPr>
          <w:rFonts w:asciiTheme="minorHAnsi" w:hAnsiTheme="minorHAnsi"/>
        </w:rPr>
        <w:t xml:space="preserve"> </w:t>
      </w:r>
    </w:p>
    <w:p w14:paraId="43BE0C60" w14:textId="7D2028C9" w:rsidR="004B38C1" w:rsidRDefault="00BF2280" w:rsidP="00ED7763">
      <w:pPr>
        <w:autoSpaceDE w:val="0"/>
        <w:autoSpaceDN w:val="0"/>
        <w:adjustRightInd w:val="0"/>
        <w:spacing w:after="120"/>
        <w:ind w:firstLine="720"/>
        <w:rPr>
          <w:rFonts w:asciiTheme="minorHAnsi" w:hAnsiTheme="minorHAnsi"/>
        </w:rPr>
      </w:pPr>
      <w:r>
        <w:rPr>
          <w:rFonts w:asciiTheme="minorHAnsi" w:hAnsiTheme="minorHAnsi"/>
        </w:rPr>
        <w:t>While the benefit</w:t>
      </w:r>
      <w:r w:rsidR="00ED7763">
        <w:rPr>
          <w:rFonts w:asciiTheme="minorHAnsi" w:hAnsiTheme="minorHAnsi"/>
        </w:rPr>
        <w:t>s</w:t>
      </w:r>
      <w:r>
        <w:rPr>
          <w:rFonts w:asciiTheme="minorHAnsi" w:hAnsiTheme="minorHAnsi"/>
        </w:rPr>
        <w:t xml:space="preserve"> that forests provide to </w:t>
      </w:r>
      <w:r w:rsidR="004B7530">
        <w:rPr>
          <w:rFonts w:asciiTheme="minorHAnsi" w:hAnsiTheme="minorHAnsi"/>
        </w:rPr>
        <w:t>human well-being</w:t>
      </w:r>
      <w:r>
        <w:rPr>
          <w:rFonts w:asciiTheme="minorHAnsi" w:hAnsiTheme="minorHAnsi"/>
        </w:rPr>
        <w:t xml:space="preserve"> </w:t>
      </w:r>
      <w:r w:rsidR="005015EA">
        <w:rPr>
          <w:rFonts w:asciiTheme="minorHAnsi" w:hAnsiTheme="minorHAnsi"/>
        </w:rPr>
        <w:t>has been</w:t>
      </w:r>
      <w:r>
        <w:rPr>
          <w:rFonts w:asciiTheme="minorHAnsi" w:hAnsiTheme="minorHAnsi"/>
        </w:rPr>
        <w:t xml:space="preserve"> </w:t>
      </w:r>
      <w:r w:rsidR="004B7530">
        <w:rPr>
          <w:rFonts w:asciiTheme="minorHAnsi" w:hAnsiTheme="minorHAnsi"/>
        </w:rPr>
        <w:t xml:space="preserve">of </w:t>
      </w:r>
      <w:r>
        <w:rPr>
          <w:rFonts w:asciiTheme="minorHAnsi" w:hAnsiTheme="minorHAnsi"/>
        </w:rPr>
        <w:t>considerable interest</w:t>
      </w:r>
      <w:r w:rsidR="005015EA">
        <w:rPr>
          <w:rFonts w:asciiTheme="minorHAnsi" w:hAnsiTheme="minorHAnsi"/>
        </w:rPr>
        <w:t xml:space="preserve"> to researchers</w:t>
      </w:r>
      <w:r>
        <w:rPr>
          <w:rFonts w:asciiTheme="minorHAnsi" w:hAnsiTheme="minorHAnsi"/>
        </w:rPr>
        <w:t>, a recent literature review lamented that this body of work is “</w:t>
      </w:r>
      <w:r w:rsidRPr="00BF2280">
        <w:rPr>
          <w:rFonts w:asciiTheme="minorHAnsi" w:hAnsiTheme="minorHAnsi"/>
        </w:rPr>
        <w:t>limited by the propensity for small-scale and short-term evaluations.</w:t>
      </w:r>
      <w:r>
        <w:rPr>
          <w:rFonts w:asciiTheme="minorHAnsi" w:hAnsiTheme="minorHAnsi"/>
        </w:rPr>
        <w:t>”</w:t>
      </w:r>
      <w:r w:rsidR="005015EA">
        <w:rPr>
          <w:rFonts w:asciiTheme="minorHAnsi" w:hAnsiTheme="minorHAnsi"/>
          <w:vertAlign w:val="superscript"/>
        </w:rPr>
        <w:t>5</w:t>
      </w:r>
      <w:r w:rsidR="005015EA">
        <w:rPr>
          <w:rFonts w:asciiTheme="minorHAnsi" w:hAnsiTheme="minorHAnsi"/>
        </w:rPr>
        <w:t xml:space="preserve"> </w:t>
      </w:r>
      <w:r w:rsidR="00E4033E">
        <w:rPr>
          <w:rFonts w:asciiTheme="minorHAnsi" w:hAnsiTheme="minorHAnsi"/>
        </w:rPr>
        <w:t>Because</w:t>
      </w:r>
      <w:r w:rsidR="00DC7D02">
        <w:rPr>
          <w:rFonts w:asciiTheme="minorHAnsi" w:hAnsiTheme="minorHAnsi"/>
        </w:rPr>
        <w:t xml:space="preserve"> these studies </w:t>
      </w:r>
      <w:r w:rsidR="00D262AC" w:rsidRPr="004B38C1">
        <w:rPr>
          <w:rFonts w:asciiTheme="minorHAnsi" w:hAnsiTheme="minorHAnsi"/>
        </w:rPr>
        <w:t xml:space="preserve">are </w:t>
      </w:r>
      <w:r w:rsidR="00277B7D">
        <w:rPr>
          <w:rFonts w:asciiTheme="minorHAnsi" w:hAnsiTheme="minorHAnsi"/>
        </w:rPr>
        <w:t>generally</w:t>
      </w:r>
      <w:r w:rsidR="00D262AC" w:rsidRPr="004B38C1">
        <w:rPr>
          <w:rFonts w:asciiTheme="minorHAnsi" w:hAnsiTheme="minorHAnsi"/>
        </w:rPr>
        <w:t xml:space="preserve"> </w:t>
      </w:r>
      <w:r w:rsidR="00277B7D">
        <w:rPr>
          <w:rFonts w:asciiTheme="minorHAnsi" w:hAnsiTheme="minorHAnsi"/>
        </w:rPr>
        <w:t>qualitative</w:t>
      </w:r>
      <w:r w:rsidR="00253A96">
        <w:rPr>
          <w:rFonts w:asciiTheme="minorHAnsi" w:hAnsiTheme="minorHAnsi"/>
        </w:rPr>
        <w:t>,</w:t>
      </w:r>
      <w:r w:rsidR="00D262AC">
        <w:rPr>
          <w:rFonts w:asciiTheme="minorHAnsi" w:hAnsiTheme="minorHAnsi"/>
        </w:rPr>
        <w:t xml:space="preserve"> site specific</w:t>
      </w:r>
      <w:r w:rsidR="00277B7D">
        <w:rPr>
          <w:rFonts w:asciiTheme="minorHAnsi" w:hAnsiTheme="minorHAnsi"/>
        </w:rPr>
        <w:t xml:space="preserve">, </w:t>
      </w:r>
      <w:r w:rsidR="00253A96">
        <w:rPr>
          <w:rFonts w:asciiTheme="minorHAnsi" w:hAnsiTheme="minorHAnsi"/>
        </w:rPr>
        <w:t>and rarely compare</w:t>
      </w:r>
      <w:r w:rsidR="00277B7D">
        <w:rPr>
          <w:rFonts w:asciiTheme="minorHAnsi" w:hAnsiTheme="minorHAnsi"/>
        </w:rPr>
        <w:t xml:space="preserve"> nutrition outcomes across multiple countries or forests</w:t>
      </w:r>
      <w:r w:rsidR="00E4033E">
        <w:rPr>
          <w:rFonts w:asciiTheme="minorHAnsi" w:hAnsiTheme="minorHAnsi"/>
        </w:rPr>
        <w:t>, policymakers only have a general sense that forests are beneficial, without knowing</w:t>
      </w:r>
      <w:r w:rsidR="00FF5F53">
        <w:rPr>
          <w:rFonts w:asciiTheme="minorHAnsi" w:hAnsiTheme="minorHAnsi"/>
        </w:rPr>
        <w:t xml:space="preserve"> </w:t>
      </w:r>
      <w:r w:rsidR="00E4033E">
        <w:rPr>
          <w:rFonts w:asciiTheme="minorHAnsi" w:hAnsiTheme="minorHAnsi"/>
        </w:rPr>
        <w:t xml:space="preserve">which </w:t>
      </w:r>
      <w:r w:rsidR="00FF5F53">
        <w:rPr>
          <w:rFonts w:asciiTheme="minorHAnsi" w:hAnsiTheme="minorHAnsi"/>
        </w:rPr>
        <w:t xml:space="preserve">types of </w:t>
      </w:r>
      <w:r w:rsidR="00277B7D">
        <w:rPr>
          <w:rFonts w:asciiTheme="minorHAnsi" w:hAnsiTheme="minorHAnsi"/>
        </w:rPr>
        <w:t>forests</w:t>
      </w:r>
      <w:r w:rsidR="00DC7D02">
        <w:rPr>
          <w:rFonts w:asciiTheme="minorHAnsi" w:hAnsiTheme="minorHAnsi"/>
        </w:rPr>
        <w:t xml:space="preserve"> </w:t>
      </w:r>
      <w:r w:rsidR="00D262AC">
        <w:rPr>
          <w:rFonts w:asciiTheme="minorHAnsi" w:hAnsiTheme="minorHAnsi"/>
        </w:rPr>
        <w:t>are most c</w:t>
      </w:r>
      <w:r w:rsidR="00277B7D">
        <w:rPr>
          <w:rFonts w:asciiTheme="minorHAnsi" w:hAnsiTheme="minorHAnsi"/>
        </w:rPr>
        <w:t>ritical for fostering resilient</w:t>
      </w:r>
      <w:r w:rsidR="00D262AC">
        <w:rPr>
          <w:rFonts w:asciiTheme="minorHAnsi" w:hAnsiTheme="minorHAnsi"/>
        </w:rPr>
        <w:t xml:space="preserve"> food systems in the face of an uncertain climatological future.</w:t>
      </w:r>
      <w:r w:rsidR="00E16D33">
        <w:rPr>
          <w:rFonts w:asciiTheme="minorHAnsi" w:hAnsiTheme="minorHAnsi"/>
        </w:rPr>
        <w:t xml:space="preserve"> </w:t>
      </w:r>
      <w:r w:rsidR="00277B7D" w:rsidRPr="00277B7D">
        <w:rPr>
          <w:rFonts w:asciiTheme="minorHAnsi" w:hAnsiTheme="minorHAnsi"/>
          <w:b/>
        </w:rPr>
        <w:t>To address this, w</w:t>
      </w:r>
      <w:r w:rsidR="004B38C1" w:rsidRPr="00277B7D">
        <w:rPr>
          <w:rFonts w:asciiTheme="minorHAnsi" w:hAnsiTheme="minorHAnsi"/>
          <w:b/>
        </w:rPr>
        <w:t>e propose to</w:t>
      </w:r>
      <w:r w:rsidR="004B38C1" w:rsidRPr="00277B7D">
        <w:rPr>
          <w:rFonts w:asciiTheme="minorHAnsi" w:hAnsiTheme="minorHAnsi"/>
        </w:rPr>
        <w:t xml:space="preserve"> </w:t>
      </w:r>
      <w:r w:rsidR="004B38C1" w:rsidRPr="004B38C1">
        <w:rPr>
          <w:rFonts w:asciiTheme="minorHAnsi" w:hAnsiTheme="minorHAnsi"/>
          <w:b/>
        </w:rPr>
        <w:t>integrate</w:t>
      </w:r>
      <w:r w:rsidR="00D262AC">
        <w:rPr>
          <w:rFonts w:asciiTheme="minorHAnsi" w:hAnsiTheme="minorHAnsi"/>
          <w:b/>
        </w:rPr>
        <w:t xml:space="preserve"> data </w:t>
      </w:r>
      <w:r w:rsidR="00FF5F53">
        <w:rPr>
          <w:rFonts w:asciiTheme="minorHAnsi" w:hAnsiTheme="minorHAnsi"/>
          <w:b/>
        </w:rPr>
        <w:t xml:space="preserve">on </w:t>
      </w:r>
      <w:r w:rsidR="00D262AC">
        <w:rPr>
          <w:rFonts w:asciiTheme="minorHAnsi" w:hAnsiTheme="minorHAnsi"/>
          <w:b/>
        </w:rPr>
        <w:t xml:space="preserve">nutrition, land cover, and precipitation </w:t>
      </w:r>
      <w:r w:rsidR="00E4033E">
        <w:rPr>
          <w:rFonts w:asciiTheme="minorHAnsi" w:hAnsiTheme="minorHAnsi"/>
          <w:b/>
        </w:rPr>
        <w:t>across multiple countries and years</w:t>
      </w:r>
      <w:r w:rsidR="00D262AC">
        <w:rPr>
          <w:rFonts w:asciiTheme="minorHAnsi" w:hAnsiTheme="minorHAnsi"/>
          <w:b/>
        </w:rPr>
        <w:t xml:space="preserve"> </w:t>
      </w:r>
      <w:r w:rsidR="004B38C1" w:rsidRPr="004B38C1">
        <w:rPr>
          <w:rFonts w:asciiTheme="minorHAnsi" w:hAnsiTheme="minorHAnsi"/>
          <w:b/>
        </w:rPr>
        <w:t xml:space="preserve">to map </w:t>
      </w:r>
      <w:r w:rsidR="00D262AC">
        <w:rPr>
          <w:rFonts w:asciiTheme="minorHAnsi" w:hAnsiTheme="minorHAnsi"/>
          <w:b/>
        </w:rPr>
        <w:t xml:space="preserve">which forests have historically </w:t>
      </w:r>
      <w:r w:rsidR="00277B7D">
        <w:rPr>
          <w:rFonts w:asciiTheme="minorHAnsi" w:hAnsiTheme="minorHAnsi"/>
          <w:b/>
        </w:rPr>
        <w:t>been most effective in buffering nutrition outcomes</w:t>
      </w:r>
      <w:r w:rsidR="00D262AC">
        <w:rPr>
          <w:rFonts w:asciiTheme="minorHAnsi" w:hAnsiTheme="minorHAnsi"/>
          <w:b/>
        </w:rPr>
        <w:t xml:space="preserve"> </w:t>
      </w:r>
      <w:r w:rsidR="00027605">
        <w:rPr>
          <w:rFonts w:asciiTheme="minorHAnsi" w:hAnsiTheme="minorHAnsi"/>
          <w:b/>
        </w:rPr>
        <w:t xml:space="preserve">like wasting and stunting </w:t>
      </w:r>
      <w:r w:rsidR="00D262AC">
        <w:rPr>
          <w:rFonts w:asciiTheme="minorHAnsi" w:hAnsiTheme="minorHAnsi"/>
          <w:b/>
        </w:rPr>
        <w:t>during droughts</w:t>
      </w:r>
      <w:r w:rsidR="004B38C1" w:rsidRPr="004B38C1">
        <w:rPr>
          <w:rFonts w:asciiTheme="minorHAnsi" w:hAnsiTheme="minorHAnsi"/>
        </w:rPr>
        <w:t>.</w:t>
      </w:r>
      <w:r w:rsidR="00E16D33">
        <w:rPr>
          <w:rFonts w:asciiTheme="minorHAnsi" w:hAnsiTheme="minorHAnsi"/>
        </w:rPr>
        <w:t xml:space="preserve"> </w:t>
      </w:r>
      <w:r w:rsidR="004B38C1" w:rsidRPr="004B38C1">
        <w:rPr>
          <w:rFonts w:asciiTheme="minorHAnsi" w:hAnsiTheme="minorHAnsi"/>
        </w:rPr>
        <w:t xml:space="preserve">We will then </w:t>
      </w:r>
      <w:r w:rsidR="00DC7D02">
        <w:rPr>
          <w:rFonts w:asciiTheme="minorHAnsi" w:hAnsiTheme="minorHAnsi"/>
        </w:rPr>
        <w:t xml:space="preserve">create an interactive web map in order to </w:t>
      </w:r>
      <w:r w:rsidR="00277B7D">
        <w:rPr>
          <w:rFonts w:asciiTheme="minorHAnsi" w:hAnsiTheme="minorHAnsi"/>
        </w:rPr>
        <w:t>aid conservation and food security priority setting at the national level.</w:t>
      </w:r>
      <w:r w:rsidR="00E16D33">
        <w:rPr>
          <w:rFonts w:asciiTheme="minorHAnsi" w:hAnsiTheme="minorHAnsi"/>
        </w:rPr>
        <w:t xml:space="preserve"> </w:t>
      </w:r>
      <w:r w:rsidR="001D6AA7">
        <w:rPr>
          <w:rFonts w:asciiTheme="minorHAnsi" w:hAnsiTheme="minorHAnsi"/>
        </w:rPr>
        <w:t xml:space="preserve">This will help non-researchers to quickly grasp relationships between forests, land use, climate, and nutrition that many have not considered and can at times be difficult to visualize. </w:t>
      </w:r>
      <w:r w:rsidR="00277B7D">
        <w:rPr>
          <w:rFonts w:asciiTheme="minorHAnsi" w:hAnsiTheme="minorHAnsi"/>
        </w:rPr>
        <w:t xml:space="preserve">Using this </w:t>
      </w:r>
      <w:r w:rsidR="00E16D33">
        <w:rPr>
          <w:rFonts w:asciiTheme="minorHAnsi" w:hAnsiTheme="minorHAnsi"/>
        </w:rPr>
        <w:t>web map</w:t>
      </w:r>
      <w:r w:rsidR="00277B7D">
        <w:rPr>
          <w:rFonts w:asciiTheme="minorHAnsi" w:hAnsiTheme="minorHAnsi"/>
        </w:rPr>
        <w:t xml:space="preserve">, we will </w:t>
      </w:r>
      <w:r w:rsidR="004B38C1">
        <w:rPr>
          <w:rFonts w:asciiTheme="minorHAnsi" w:hAnsiTheme="minorHAnsi"/>
        </w:rPr>
        <w:t xml:space="preserve">reach out to policymakers </w:t>
      </w:r>
      <w:r w:rsidR="00ED7763">
        <w:rPr>
          <w:rFonts w:asciiTheme="minorHAnsi" w:hAnsiTheme="minorHAnsi"/>
        </w:rPr>
        <w:t xml:space="preserve">by leveraging </w:t>
      </w:r>
      <w:r w:rsidR="004B7530">
        <w:rPr>
          <w:rFonts w:asciiTheme="minorHAnsi" w:hAnsiTheme="minorHAnsi"/>
        </w:rPr>
        <w:t>Conservation International</w:t>
      </w:r>
      <w:r w:rsidR="00ED7763">
        <w:rPr>
          <w:rFonts w:asciiTheme="minorHAnsi" w:hAnsiTheme="minorHAnsi"/>
        </w:rPr>
        <w:t>’s</w:t>
      </w:r>
      <w:r w:rsidR="004B7530">
        <w:rPr>
          <w:rFonts w:asciiTheme="minorHAnsi" w:hAnsiTheme="minorHAnsi"/>
        </w:rPr>
        <w:t xml:space="preserve"> </w:t>
      </w:r>
      <w:r w:rsidR="00277B7D">
        <w:rPr>
          <w:rFonts w:asciiTheme="minorHAnsi" w:hAnsiTheme="minorHAnsi"/>
        </w:rPr>
        <w:t>institutional relationship</w:t>
      </w:r>
      <w:r w:rsidR="00ED7763">
        <w:rPr>
          <w:rFonts w:asciiTheme="minorHAnsi" w:hAnsiTheme="minorHAnsi"/>
        </w:rPr>
        <w:t>s</w:t>
      </w:r>
      <w:r w:rsidR="00277B7D">
        <w:rPr>
          <w:rFonts w:asciiTheme="minorHAnsi" w:hAnsiTheme="minorHAnsi"/>
        </w:rPr>
        <w:t xml:space="preserve"> to </w:t>
      </w:r>
      <w:r w:rsidR="004B38C1">
        <w:rPr>
          <w:rFonts w:asciiTheme="minorHAnsi" w:hAnsiTheme="minorHAnsi"/>
        </w:rPr>
        <w:t>advocate for comm</w:t>
      </w:r>
      <w:r w:rsidR="00D262AC">
        <w:rPr>
          <w:rFonts w:asciiTheme="minorHAnsi" w:hAnsiTheme="minorHAnsi"/>
        </w:rPr>
        <w:t>unity-based conservation of</w:t>
      </w:r>
      <w:r w:rsidR="004B38C1">
        <w:rPr>
          <w:rFonts w:asciiTheme="minorHAnsi" w:hAnsiTheme="minorHAnsi"/>
        </w:rPr>
        <w:t xml:space="preserve"> </w:t>
      </w:r>
      <w:r w:rsidR="00D262AC">
        <w:rPr>
          <w:rFonts w:asciiTheme="minorHAnsi" w:hAnsiTheme="minorHAnsi"/>
        </w:rPr>
        <w:t>forests and natural areas</w:t>
      </w:r>
      <w:r w:rsidR="004B38C1">
        <w:rPr>
          <w:rFonts w:asciiTheme="minorHAnsi" w:hAnsiTheme="minorHAnsi"/>
        </w:rPr>
        <w:t xml:space="preserve"> identified as historically </w:t>
      </w:r>
      <w:r w:rsidR="00277B7D">
        <w:rPr>
          <w:rFonts w:asciiTheme="minorHAnsi" w:hAnsiTheme="minorHAnsi"/>
        </w:rPr>
        <w:t>acting as safety nets</w:t>
      </w:r>
      <w:r w:rsidR="00D262AC">
        <w:rPr>
          <w:rFonts w:asciiTheme="minorHAnsi" w:hAnsiTheme="minorHAnsi"/>
        </w:rPr>
        <w:t xml:space="preserve"> during rainfall deficits</w:t>
      </w:r>
      <w:r w:rsidR="004B38C1" w:rsidRPr="004B38C1">
        <w:rPr>
          <w:rFonts w:asciiTheme="minorHAnsi" w:hAnsiTheme="minorHAnsi"/>
        </w:rPr>
        <w:t>.</w:t>
      </w:r>
      <w:r w:rsidR="009A1017">
        <w:rPr>
          <w:rFonts w:asciiTheme="minorHAnsi" w:hAnsiTheme="minorHAnsi"/>
        </w:rPr>
        <w:t xml:space="preserve"> This </w:t>
      </w:r>
      <w:r w:rsidR="00B659C4">
        <w:rPr>
          <w:rFonts w:asciiTheme="minorHAnsi" w:hAnsiTheme="minorHAnsi"/>
        </w:rPr>
        <w:t xml:space="preserve">tool can be used by </w:t>
      </w:r>
      <w:r w:rsidR="00B23B9E">
        <w:rPr>
          <w:rFonts w:asciiTheme="minorHAnsi" w:hAnsiTheme="minorHAnsi"/>
        </w:rPr>
        <w:t xml:space="preserve">local advocacy organizations as well as national decision makers </w:t>
      </w:r>
      <w:r w:rsidR="00ED7763">
        <w:rPr>
          <w:rFonts w:asciiTheme="minorHAnsi" w:hAnsiTheme="minorHAnsi"/>
        </w:rPr>
        <w:t xml:space="preserve">to make </w:t>
      </w:r>
      <w:r w:rsidR="00091AE3">
        <w:rPr>
          <w:rFonts w:asciiTheme="minorHAnsi" w:hAnsiTheme="minorHAnsi"/>
        </w:rPr>
        <w:t xml:space="preserve">locally relevant </w:t>
      </w:r>
      <w:r w:rsidR="00732043">
        <w:rPr>
          <w:rFonts w:asciiTheme="minorHAnsi" w:hAnsiTheme="minorHAnsi"/>
        </w:rPr>
        <w:t xml:space="preserve">justifications </w:t>
      </w:r>
      <w:r w:rsidR="00091AE3">
        <w:rPr>
          <w:rFonts w:asciiTheme="minorHAnsi" w:hAnsiTheme="minorHAnsi"/>
        </w:rPr>
        <w:t xml:space="preserve">for </w:t>
      </w:r>
      <w:r w:rsidR="005327CD">
        <w:rPr>
          <w:rFonts w:asciiTheme="minorHAnsi" w:hAnsiTheme="minorHAnsi"/>
        </w:rPr>
        <w:t xml:space="preserve">forest </w:t>
      </w:r>
      <w:r w:rsidR="00091AE3">
        <w:rPr>
          <w:rFonts w:asciiTheme="minorHAnsi" w:hAnsiTheme="minorHAnsi"/>
        </w:rPr>
        <w:t>conservation beyon</w:t>
      </w:r>
      <w:r w:rsidR="00114C29">
        <w:rPr>
          <w:rFonts w:asciiTheme="minorHAnsi" w:hAnsiTheme="minorHAnsi"/>
        </w:rPr>
        <w:t>d carbon sequestration</w:t>
      </w:r>
      <w:r w:rsidR="000E368E">
        <w:rPr>
          <w:rFonts w:asciiTheme="minorHAnsi" w:hAnsiTheme="minorHAnsi"/>
        </w:rPr>
        <w:t>.</w:t>
      </w:r>
    </w:p>
    <w:p w14:paraId="34E23E34" w14:textId="47C2454C" w:rsidR="00421D80" w:rsidRPr="00421D80" w:rsidRDefault="00421D80" w:rsidP="00421D80">
      <w:pPr>
        <w:autoSpaceDE w:val="0"/>
        <w:autoSpaceDN w:val="0"/>
        <w:adjustRightInd w:val="0"/>
        <w:rPr>
          <w:rFonts w:asciiTheme="minorHAnsi" w:hAnsiTheme="minorHAnsi"/>
          <w:b/>
        </w:rPr>
      </w:pPr>
      <w:r w:rsidRPr="00421D80">
        <w:rPr>
          <w:rFonts w:asciiTheme="minorHAnsi" w:hAnsiTheme="minorHAnsi"/>
          <w:b/>
        </w:rPr>
        <w:t xml:space="preserve">THE PILOT: </w:t>
      </w:r>
      <w:r>
        <w:rPr>
          <w:rFonts w:asciiTheme="minorHAnsi" w:hAnsiTheme="minorHAnsi"/>
          <w:b/>
        </w:rPr>
        <w:t>ASSEMBLING</w:t>
      </w:r>
      <w:r w:rsidRPr="00421D80">
        <w:rPr>
          <w:rFonts w:asciiTheme="minorHAnsi" w:hAnsiTheme="minorHAnsi"/>
          <w:b/>
        </w:rPr>
        <w:t xml:space="preserve"> DATA</w:t>
      </w:r>
      <w:r>
        <w:rPr>
          <w:rFonts w:asciiTheme="minorHAnsi" w:hAnsiTheme="minorHAnsi"/>
          <w:b/>
        </w:rPr>
        <w:t>SETS</w:t>
      </w:r>
      <w:r w:rsidR="007667BB">
        <w:rPr>
          <w:rFonts w:asciiTheme="minorHAnsi" w:hAnsiTheme="minorHAnsi"/>
          <w:b/>
        </w:rPr>
        <w:t xml:space="preserve"> AND CONDUCTING ANALYSIS IN EAST AFRICA</w:t>
      </w:r>
    </w:p>
    <w:p w14:paraId="0337B8B7" w14:textId="69E752EE" w:rsidR="00253A96" w:rsidRDefault="00277B7D" w:rsidP="00E5026A">
      <w:pPr>
        <w:autoSpaceDE w:val="0"/>
        <w:autoSpaceDN w:val="0"/>
        <w:adjustRightInd w:val="0"/>
        <w:ind w:firstLine="720"/>
        <w:rPr>
          <w:rFonts w:asciiTheme="minorHAnsi" w:hAnsiTheme="minorHAnsi"/>
        </w:rPr>
      </w:pPr>
      <w:r>
        <w:rPr>
          <w:rFonts w:asciiTheme="minorHAnsi" w:hAnsiTheme="minorHAnsi"/>
        </w:rPr>
        <w:t xml:space="preserve">This project will combine several datasets on nutrition, climate, and land cover </w:t>
      </w:r>
      <w:r w:rsidR="007667BB">
        <w:rPr>
          <w:rFonts w:asciiTheme="minorHAnsi" w:hAnsiTheme="minorHAnsi"/>
        </w:rPr>
        <w:t>for Tanzania, Rwanda, Kenya, and Uganda</w:t>
      </w:r>
      <w:r>
        <w:rPr>
          <w:rFonts w:asciiTheme="minorHAnsi" w:hAnsiTheme="minorHAnsi"/>
        </w:rPr>
        <w:t>.</w:t>
      </w:r>
      <w:r w:rsidR="00E16D33">
        <w:rPr>
          <w:rFonts w:asciiTheme="minorHAnsi" w:hAnsiTheme="minorHAnsi"/>
        </w:rPr>
        <w:t xml:space="preserve"> </w:t>
      </w:r>
      <w:r>
        <w:rPr>
          <w:rFonts w:asciiTheme="minorHAnsi" w:hAnsiTheme="minorHAnsi"/>
        </w:rPr>
        <w:t>For the nutrition data, we will use Demographic and Health Surveys (DHS)</w:t>
      </w:r>
      <w:r w:rsidR="007667BB">
        <w:rPr>
          <w:rFonts w:asciiTheme="minorHAnsi" w:hAnsiTheme="minorHAnsi"/>
        </w:rPr>
        <w:t xml:space="preserve"> for each country </w:t>
      </w:r>
      <w:r w:rsidR="00ED7763">
        <w:rPr>
          <w:rFonts w:asciiTheme="minorHAnsi" w:hAnsiTheme="minorHAnsi"/>
        </w:rPr>
        <w:t>over several years</w:t>
      </w:r>
      <w:r>
        <w:rPr>
          <w:rFonts w:asciiTheme="minorHAnsi" w:hAnsiTheme="minorHAnsi"/>
        </w:rPr>
        <w:t>.</w:t>
      </w:r>
      <w:r w:rsidR="00E16D33">
        <w:rPr>
          <w:rFonts w:asciiTheme="minorHAnsi" w:hAnsiTheme="minorHAnsi"/>
        </w:rPr>
        <w:t xml:space="preserve"> </w:t>
      </w:r>
      <w:r w:rsidR="00396AF1">
        <w:rPr>
          <w:rFonts w:asciiTheme="minorHAnsi" w:hAnsiTheme="minorHAnsi"/>
        </w:rPr>
        <w:t>Combining all of these surveys</w:t>
      </w:r>
      <w:r w:rsidR="00396AF1" w:rsidRPr="00396AF1">
        <w:rPr>
          <w:rFonts w:asciiTheme="minorHAnsi" w:hAnsiTheme="minorHAnsi"/>
        </w:rPr>
        <w:t xml:space="preserve"> </w:t>
      </w:r>
      <w:r w:rsidR="00396AF1">
        <w:rPr>
          <w:rFonts w:asciiTheme="minorHAnsi" w:hAnsiTheme="minorHAnsi"/>
        </w:rPr>
        <w:t xml:space="preserve">will yield a massive dataset of </w:t>
      </w:r>
      <w:r w:rsidR="006A36D5" w:rsidRPr="006A36D5">
        <w:rPr>
          <w:rFonts w:asciiTheme="minorHAnsi" w:hAnsiTheme="minorHAnsi"/>
        </w:rPr>
        <w:t>201</w:t>
      </w:r>
      <w:r w:rsidR="006A36D5">
        <w:rPr>
          <w:rFonts w:asciiTheme="minorHAnsi" w:hAnsiTheme="minorHAnsi"/>
        </w:rPr>
        <w:t>,</w:t>
      </w:r>
      <w:r w:rsidR="006A36D5" w:rsidRPr="006A36D5">
        <w:rPr>
          <w:rFonts w:asciiTheme="minorHAnsi" w:hAnsiTheme="minorHAnsi"/>
        </w:rPr>
        <w:t>148</w:t>
      </w:r>
      <w:r w:rsidR="006A36D5">
        <w:rPr>
          <w:rFonts w:asciiTheme="minorHAnsi" w:hAnsiTheme="minorHAnsi"/>
        </w:rPr>
        <w:t xml:space="preserve"> households</w:t>
      </w:r>
      <w:r w:rsidR="00396AF1">
        <w:rPr>
          <w:rFonts w:asciiTheme="minorHAnsi" w:hAnsiTheme="minorHAnsi"/>
        </w:rPr>
        <w:t xml:space="preserve"> across </w:t>
      </w:r>
      <w:r w:rsidR="007667BB">
        <w:rPr>
          <w:rFonts w:asciiTheme="minorHAnsi" w:hAnsiTheme="minorHAnsi"/>
        </w:rPr>
        <w:t>nearly 20</w:t>
      </w:r>
      <w:r w:rsidR="00396AF1">
        <w:rPr>
          <w:rFonts w:asciiTheme="minorHAnsi" w:hAnsiTheme="minorHAnsi"/>
        </w:rPr>
        <w:t xml:space="preserve"> years.</w:t>
      </w:r>
      <w:r w:rsidR="00E16D33">
        <w:rPr>
          <w:rFonts w:asciiTheme="minorHAnsi" w:hAnsiTheme="minorHAnsi"/>
        </w:rPr>
        <w:t xml:space="preserve"> </w:t>
      </w:r>
      <w:r w:rsidR="00396AF1">
        <w:rPr>
          <w:rFonts w:asciiTheme="minorHAnsi" w:hAnsiTheme="minorHAnsi"/>
        </w:rPr>
        <w:t xml:space="preserve">This dataset will be combined with geographic data like </w:t>
      </w:r>
      <w:r w:rsidR="00C2019B">
        <w:rPr>
          <w:rFonts w:asciiTheme="minorHAnsi" w:hAnsiTheme="minorHAnsi"/>
        </w:rPr>
        <w:t xml:space="preserve">the European Space Agency Climate Change Initiative (ESA-CCI) land cover maps </w:t>
      </w:r>
      <w:r w:rsidR="004B38C1" w:rsidRPr="004B38C1">
        <w:rPr>
          <w:rFonts w:asciiTheme="minorHAnsi" w:hAnsiTheme="minorHAnsi"/>
        </w:rPr>
        <w:t xml:space="preserve">and the Climate Hazards </w:t>
      </w:r>
      <w:r w:rsidR="004B38C1" w:rsidRPr="004B38C1">
        <w:rPr>
          <w:rFonts w:asciiTheme="minorHAnsi" w:hAnsiTheme="minorHAnsi"/>
        </w:rPr>
        <w:lastRenderedPageBreak/>
        <w:t xml:space="preserve">Group InfraRed Precipitation with Station </w:t>
      </w:r>
      <w:r>
        <w:rPr>
          <w:rFonts w:asciiTheme="minorHAnsi" w:hAnsiTheme="minorHAnsi"/>
        </w:rPr>
        <w:t xml:space="preserve">data </w:t>
      </w:r>
      <w:r w:rsidR="004B38C1" w:rsidRPr="004B38C1">
        <w:rPr>
          <w:rFonts w:asciiTheme="minorHAnsi" w:hAnsiTheme="minorHAnsi"/>
        </w:rPr>
        <w:t>(CHIRPS)</w:t>
      </w:r>
      <w:r w:rsidR="00C2019B">
        <w:rPr>
          <w:rFonts w:asciiTheme="minorHAnsi" w:hAnsiTheme="minorHAnsi"/>
        </w:rPr>
        <w:t xml:space="preserve"> dataset</w:t>
      </w:r>
      <w:r w:rsidR="00396AF1">
        <w:rPr>
          <w:rFonts w:asciiTheme="minorHAnsi" w:hAnsiTheme="minorHAnsi"/>
        </w:rPr>
        <w:t xml:space="preserve"> using Google Earth Engine</w:t>
      </w:r>
      <w:r w:rsidR="004B38C1" w:rsidRPr="004B38C1">
        <w:rPr>
          <w:rFonts w:asciiTheme="minorHAnsi" w:hAnsiTheme="minorHAnsi"/>
        </w:rPr>
        <w:t>.</w:t>
      </w:r>
      <w:r w:rsidR="00E16D33">
        <w:rPr>
          <w:rFonts w:asciiTheme="minorHAnsi" w:hAnsiTheme="minorHAnsi"/>
        </w:rPr>
        <w:t xml:space="preserve"> </w:t>
      </w:r>
      <w:r w:rsidR="00635B11">
        <w:rPr>
          <w:rFonts w:asciiTheme="minorHAnsi" w:hAnsiTheme="minorHAnsi"/>
        </w:rPr>
        <w:t xml:space="preserve">From </w:t>
      </w:r>
      <w:r w:rsidR="00E5026A">
        <w:rPr>
          <w:rFonts w:asciiTheme="minorHAnsi" w:hAnsiTheme="minorHAnsi"/>
        </w:rPr>
        <w:t>CHIRPS</w:t>
      </w:r>
      <w:r w:rsidR="00635B11">
        <w:rPr>
          <w:rFonts w:asciiTheme="minorHAnsi" w:hAnsiTheme="minorHAnsi"/>
        </w:rPr>
        <w:t>, we will be able to derive the standardized precipitation index (SPI), an</w:t>
      </w:r>
      <w:r w:rsidR="005015EA">
        <w:rPr>
          <w:rFonts w:asciiTheme="minorHAnsi" w:hAnsiTheme="minorHAnsi"/>
        </w:rPr>
        <w:t xml:space="preserve"> indicator of drought, for</w:t>
      </w:r>
      <w:r w:rsidR="00635B11">
        <w:rPr>
          <w:rFonts w:asciiTheme="minorHAnsi" w:hAnsiTheme="minorHAnsi"/>
        </w:rPr>
        <w:t xml:space="preserve"> every DHS site.</w:t>
      </w:r>
      <w:r w:rsidR="00E16D33">
        <w:rPr>
          <w:rFonts w:asciiTheme="minorHAnsi" w:hAnsiTheme="minorHAnsi"/>
        </w:rPr>
        <w:t xml:space="preserve"> </w:t>
      </w:r>
      <w:r>
        <w:rPr>
          <w:rFonts w:asciiTheme="minorHAnsi" w:hAnsiTheme="minorHAnsi"/>
        </w:rPr>
        <w:t>The ESA-CCI dataset</w:t>
      </w:r>
      <w:r w:rsidR="00253A96">
        <w:rPr>
          <w:rFonts w:asciiTheme="minorHAnsi" w:hAnsiTheme="minorHAnsi"/>
        </w:rPr>
        <w:t>, just released in April of this year,</w:t>
      </w:r>
      <w:r>
        <w:rPr>
          <w:rFonts w:asciiTheme="minorHAnsi" w:hAnsiTheme="minorHAnsi"/>
        </w:rPr>
        <w:t xml:space="preserve"> has land cover </w:t>
      </w:r>
      <w:r w:rsidR="00717DEF">
        <w:rPr>
          <w:rFonts w:asciiTheme="minorHAnsi" w:hAnsiTheme="minorHAnsi"/>
        </w:rPr>
        <w:t xml:space="preserve">data </w:t>
      </w:r>
      <w:r>
        <w:rPr>
          <w:rFonts w:asciiTheme="minorHAnsi" w:hAnsiTheme="minorHAnsi"/>
        </w:rPr>
        <w:t>available f</w:t>
      </w:r>
      <w:r w:rsidR="00635B11">
        <w:rPr>
          <w:rFonts w:asciiTheme="minorHAnsi" w:hAnsiTheme="minorHAnsi"/>
        </w:rPr>
        <w:t>or every year since 1990.</w:t>
      </w:r>
      <w:r w:rsidR="00E16D33">
        <w:rPr>
          <w:rFonts w:asciiTheme="minorHAnsi" w:hAnsiTheme="minorHAnsi"/>
        </w:rPr>
        <w:t xml:space="preserve"> </w:t>
      </w:r>
      <w:r w:rsidR="00635B11">
        <w:rPr>
          <w:rFonts w:asciiTheme="minorHAnsi" w:hAnsiTheme="minorHAnsi"/>
        </w:rPr>
        <w:t>Because it has</w:t>
      </w:r>
      <w:r>
        <w:rPr>
          <w:rFonts w:asciiTheme="minorHAnsi" w:hAnsiTheme="minorHAnsi"/>
        </w:rPr>
        <w:t xml:space="preserve"> </w:t>
      </w:r>
      <w:r w:rsidR="00635B11">
        <w:rPr>
          <w:rFonts w:asciiTheme="minorHAnsi" w:hAnsiTheme="minorHAnsi"/>
        </w:rPr>
        <w:t>data on many</w:t>
      </w:r>
      <w:r w:rsidR="00253A96">
        <w:rPr>
          <w:rFonts w:asciiTheme="minorHAnsi" w:hAnsiTheme="minorHAnsi"/>
        </w:rPr>
        <w:t xml:space="preserve"> land cover type</w:t>
      </w:r>
      <w:r w:rsidR="00635B11">
        <w:rPr>
          <w:rFonts w:asciiTheme="minorHAnsi" w:hAnsiTheme="minorHAnsi"/>
        </w:rPr>
        <w:t xml:space="preserve">s that provide </w:t>
      </w:r>
      <w:r w:rsidR="007667BB">
        <w:rPr>
          <w:rFonts w:asciiTheme="minorHAnsi" w:hAnsiTheme="minorHAnsi"/>
        </w:rPr>
        <w:t>provisioning and regulating ecosystem services</w:t>
      </w:r>
      <w:r w:rsidR="00253A96">
        <w:rPr>
          <w:rFonts w:asciiTheme="minorHAnsi" w:hAnsiTheme="minorHAnsi"/>
        </w:rPr>
        <w:t xml:space="preserve">, including grassland, shrubland, and several forest types such as open and closed canopy, or deciduous and evergreen, we will be able to </w:t>
      </w:r>
      <w:r w:rsidR="005015EA">
        <w:rPr>
          <w:rFonts w:asciiTheme="minorHAnsi" w:hAnsiTheme="minorHAnsi"/>
        </w:rPr>
        <w:t>assess</w:t>
      </w:r>
      <w:r w:rsidR="00253A96">
        <w:rPr>
          <w:rFonts w:asciiTheme="minorHAnsi" w:hAnsiTheme="minorHAnsi"/>
        </w:rPr>
        <w:t xml:space="preserve"> </w:t>
      </w:r>
      <w:r w:rsidR="00635B11">
        <w:rPr>
          <w:rFonts w:asciiTheme="minorHAnsi" w:hAnsiTheme="minorHAnsi"/>
        </w:rPr>
        <w:t>both which particular</w:t>
      </w:r>
      <w:r w:rsidR="00717DEF">
        <w:rPr>
          <w:rFonts w:asciiTheme="minorHAnsi" w:hAnsiTheme="minorHAnsi"/>
        </w:rPr>
        <w:t xml:space="preserve"> natural areas</w:t>
      </w:r>
      <w:r w:rsidR="00635B11">
        <w:rPr>
          <w:rFonts w:asciiTheme="minorHAnsi" w:hAnsiTheme="minorHAnsi"/>
        </w:rPr>
        <w:t xml:space="preserve"> </w:t>
      </w:r>
      <w:r w:rsidR="007667BB">
        <w:rPr>
          <w:rFonts w:asciiTheme="minorHAnsi" w:hAnsiTheme="minorHAnsi"/>
        </w:rPr>
        <w:t>are most vital to support resilient</w:t>
      </w:r>
      <w:r w:rsidR="00635B11">
        <w:rPr>
          <w:rFonts w:asciiTheme="minorHAnsi" w:hAnsiTheme="minorHAnsi"/>
        </w:rPr>
        <w:t xml:space="preserve"> nutrition outcomes</w:t>
      </w:r>
      <w:r w:rsidR="00717DEF">
        <w:rPr>
          <w:rFonts w:asciiTheme="minorHAnsi" w:hAnsiTheme="minorHAnsi"/>
        </w:rPr>
        <w:t>.</w:t>
      </w:r>
      <w:r w:rsidR="009044B1">
        <w:rPr>
          <w:rFonts w:asciiTheme="minorHAnsi" w:hAnsiTheme="minorHAnsi"/>
        </w:rPr>
        <w:t xml:space="preserve"> </w:t>
      </w:r>
    </w:p>
    <w:p w14:paraId="3B247E80" w14:textId="1A4F8B5B" w:rsidR="0072396F" w:rsidRDefault="00717DEF" w:rsidP="000F2276">
      <w:pPr>
        <w:autoSpaceDE w:val="0"/>
        <w:autoSpaceDN w:val="0"/>
        <w:adjustRightInd w:val="0"/>
        <w:spacing w:after="120"/>
        <w:ind w:firstLine="720"/>
        <w:rPr>
          <w:rFonts w:asciiTheme="minorHAnsi" w:hAnsiTheme="minorHAnsi"/>
        </w:rPr>
      </w:pPr>
      <w:r>
        <w:rPr>
          <w:rFonts w:asciiTheme="minorHAnsi" w:hAnsiTheme="minorHAnsi"/>
        </w:rPr>
        <w:t>Having assembled the datasets, w</w:t>
      </w:r>
      <w:r w:rsidR="004B38C1" w:rsidRPr="004B38C1">
        <w:rPr>
          <w:rFonts w:asciiTheme="minorHAnsi" w:hAnsiTheme="minorHAnsi"/>
        </w:rPr>
        <w:t xml:space="preserve">e will </w:t>
      </w:r>
      <w:r w:rsidR="009E01A9">
        <w:rPr>
          <w:rFonts w:asciiTheme="minorHAnsi" w:hAnsiTheme="minorHAnsi"/>
        </w:rPr>
        <w:t>then</w:t>
      </w:r>
      <w:r w:rsidR="004B38C1" w:rsidRPr="004B38C1">
        <w:rPr>
          <w:rFonts w:asciiTheme="minorHAnsi" w:hAnsiTheme="minorHAnsi"/>
        </w:rPr>
        <w:t xml:space="preserve"> </w:t>
      </w:r>
      <w:r w:rsidR="00396AF1">
        <w:rPr>
          <w:rFonts w:asciiTheme="minorHAnsi" w:hAnsiTheme="minorHAnsi"/>
        </w:rPr>
        <w:t>use a Bayesian hierarchical</w:t>
      </w:r>
      <w:r w:rsidR="004B38C1" w:rsidRPr="004B38C1">
        <w:rPr>
          <w:rFonts w:asciiTheme="minorHAnsi" w:hAnsiTheme="minorHAnsi"/>
        </w:rPr>
        <w:t xml:space="preserve"> model to </w:t>
      </w:r>
      <w:r w:rsidR="00FB6CED">
        <w:rPr>
          <w:rFonts w:asciiTheme="minorHAnsi" w:hAnsiTheme="minorHAnsi"/>
        </w:rPr>
        <w:t>model</w:t>
      </w:r>
      <w:r w:rsidR="00396AF1">
        <w:rPr>
          <w:rFonts w:asciiTheme="minorHAnsi" w:hAnsiTheme="minorHAnsi"/>
        </w:rPr>
        <w:t xml:space="preserve"> </w:t>
      </w:r>
      <w:r w:rsidR="00FB6CED">
        <w:rPr>
          <w:rFonts w:asciiTheme="minorHAnsi" w:hAnsiTheme="minorHAnsi"/>
        </w:rPr>
        <w:t xml:space="preserve">the effects of precipitation and the presence of </w:t>
      </w:r>
      <w:r w:rsidR="005327CD">
        <w:rPr>
          <w:rFonts w:asciiTheme="minorHAnsi" w:hAnsiTheme="minorHAnsi"/>
        </w:rPr>
        <w:t xml:space="preserve">forests and </w:t>
      </w:r>
      <w:r w:rsidR="00FB6CED">
        <w:rPr>
          <w:rFonts w:asciiTheme="minorHAnsi" w:hAnsiTheme="minorHAnsi"/>
        </w:rPr>
        <w:t>natural land cover on</w:t>
      </w:r>
      <w:r w:rsidR="00396AF1">
        <w:rPr>
          <w:rFonts w:asciiTheme="minorHAnsi" w:hAnsiTheme="minorHAnsi"/>
        </w:rPr>
        <w:t xml:space="preserve"> nutrition </w:t>
      </w:r>
      <w:r w:rsidR="005327CD">
        <w:rPr>
          <w:rFonts w:asciiTheme="minorHAnsi" w:hAnsiTheme="minorHAnsi"/>
        </w:rPr>
        <w:t xml:space="preserve">outcomes </w:t>
      </w:r>
      <w:r w:rsidR="00396AF1">
        <w:rPr>
          <w:rFonts w:asciiTheme="minorHAnsi" w:hAnsiTheme="minorHAnsi"/>
        </w:rPr>
        <w:t>for children under 5 in terms of both stunting, an indicator of long</w:t>
      </w:r>
      <w:r w:rsidR="00FF5F53">
        <w:rPr>
          <w:rFonts w:asciiTheme="minorHAnsi" w:hAnsiTheme="minorHAnsi"/>
        </w:rPr>
        <w:t>-</w:t>
      </w:r>
      <w:r w:rsidR="00396AF1">
        <w:rPr>
          <w:rFonts w:asciiTheme="minorHAnsi" w:hAnsiTheme="minorHAnsi"/>
        </w:rPr>
        <w:t xml:space="preserve">term malnutrition, and wasting, an indicator of short-term malnutrition. Because the DHS is rich in other health data, we will </w:t>
      </w:r>
      <w:r>
        <w:rPr>
          <w:rFonts w:asciiTheme="minorHAnsi" w:hAnsiTheme="minorHAnsi"/>
        </w:rPr>
        <w:t xml:space="preserve">be able </w:t>
      </w:r>
      <w:r w:rsidR="00396AF1">
        <w:rPr>
          <w:rFonts w:asciiTheme="minorHAnsi" w:hAnsiTheme="minorHAnsi"/>
        </w:rPr>
        <w:t xml:space="preserve">control for other factors that can influence </w:t>
      </w:r>
      <w:r w:rsidR="00732043">
        <w:rPr>
          <w:rFonts w:asciiTheme="minorHAnsi" w:hAnsiTheme="minorHAnsi"/>
        </w:rPr>
        <w:t xml:space="preserve">a </w:t>
      </w:r>
      <w:r w:rsidR="00396AF1">
        <w:rPr>
          <w:rFonts w:asciiTheme="minorHAnsi" w:hAnsiTheme="minorHAnsi"/>
        </w:rPr>
        <w:t>child’s nutrition</w:t>
      </w:r>
      <w:r>
        <w:rPr>
          <w:rFonts w:asciiTheme="minorHAnsi" w:hAnsiTheme="minorHAnsi"/>
        </w:rPr>
        <w:t xml:space="preserve"> status</w:t>
      </w:r>
      <w:r w:rsidR="00396AF1">
        <w:rPr>
          <w:rFonts w:asciiTheme="minorHAnsi" w:hAnsiTheme="minorHAnsi"/>
        </w:rPr>
        <w:t xml:space="preserve">, such as household </w:t>
      </w:r>
      <w:r w:rsidR="00E4033E">
        <w:rPr>
          <w:rFonts w:asciiTheme="minorHAnsi" w:hAnsiTheme="minorHAnsi"/>
        </w:rPr>
        <w:t>assets</w:t>
      </w:r>
      <w:r w:rsidR="005015EA">
        <w:rPr>
          <w:rFonts w:asciiTheme="minorHAnsi" w:hAnsiTheme="minorHAnsi"/>
        </w:rPr>
        <w:t xml:space="preserve"> and education</w:t>
      </w:r>
      <w:r w:rsidR="00396AF1">
        <w:rPr>
          <w:rFonts w:asciiTheme="minorHAnsi" w:hAnsiTheme="minorHAnsi"/>
        </w:rPr>
        <w:t xml:space="preserve">, whether the child was breastfed, </w:t>
      </w:r>
      <w:r w:rsidR="00593088">
        <w:rPr>
          <w:rFonts w:asciiTheme="minorHAnsi" w:hAnsiTheme="minorHAnsi"/>
        </w:rPr>
        <w:t xml:space="preserve">and </w:t>
      </w:r>
      <w:r w:rsidR="00396AF1">
        <w:rPr>
          <w:rFonts w:asciiTheme="minorHAnsi" w:hAnsiTheme="minorHAnsi"/>
        </w:rPr>
        <w:t xml:space="preserve">the </w:t>
      </w:r>
      <w:r w:rsidR="005015EA">
        <w:rPr>
          <w:rFonts w:asciiTheme="minorHAnsi" w:hAnsiTheme="minorHAnsi"/>
        </w:rPr>
        <w:t xml:space="preserve">child’s </w:t>
      </w:r>
      <w:r w:rsidR="007667BB">
        <w:rPr>
          <w:rFonts w:asciiTheme="minorHAnsi" w:hAnsiTheme="minorHAnsi"/>
        </w:rPr>
        <w:t>hemoglobin levels</w:t>
      </w:r>
      <w:r w:rsidR="00593088">
        <w:rPr>
          <w:rFonts w:asciiTheme="minorHAnsi" w:hAnsiTheme="minorHAnsi"/>
        </w:rPr>
        <w:t>.</w:t>
      </w:r>
      <w:r w:rsidR="00E16D33">
        <w:rPr>
          <w:rFonts w:asciiTheme="minorHAnsi" w:hAnsiTheme="minorHAnsi"/>
        </w:rPr>
        <w:t xml:space="preserve"> </w:t>
      </w:r>
      <w:r>
        <w:rPr>
          <w:rFonts w:asciiTheme="minorHAnsi" w:hAnsiTheme="minorHAnsi"/>
        </w:rPr>
        <w:t>One advantage of usin</w:t>
      </w:r>
      <w:r w:rsidR="005327CD">
        <w:rPr>
          <w:rFonts w:asciiTheme="minorHAnsi" w:hAnsiTheme="minorHAnsi"/>
        </w:rPr>
        <w:t>g a Bayesian hierarchical model</w:t>
      </w:r>
      <w:r>
        <w:rPr>
          <w:rFonts w:asciiTheme="minorHAnsi" w:hAnsiTheme="minorHAnsi"/>
        </w:rPr>
        <w:t xml:space="preserve"> is that it is possible to impute missing data if, for example, a DHS survey is missing data on a particular child health covariate.</w:t>
      </w:r>
      <w:r w:rsidR="00E16D33">
        <w:rPr>
          <w:rFonts w:asciiTheme="minorHAnsi" w:hAnsiTheme="minorHAnsi"/>
        </w:rPr>
        <w:t xml:space="preserve"> </w:t>
      </w:r>
      <w:r w:rsidR="00593088">
        <w:rPr>
          <w:rFonts w:asciiTheme="minorHAnsi" w:hAnsiTheme="minorHAnsi"/>
        </w:rPr>
        <w:t xml:space="preserve">We will also use publicly available geographic datasets to control </w:t>
      </w:r>
      <w:r w:rsidR="00732043">
        <w:rPr>
          <w:rFonts w:asciiTheme="minorHAnsi" w:hAnsiTheme="minorHAnsi"/>
        </w:rPr>
        <w:t xml:space="preserve">for </w:t>
      </w:r>
      <w:r w:rsidR="00593088">
        <w:rPr>
          <w:rFonts w:asciiTheme="minorHAnsi" w:hAnsiTheme="minorHAnsi"/>
        </w:rPr>
        <w:t xml:space="preserve">other </w:t>
      </w:r>
      <w:r>
        <w:rPr>
          <w:rFonts w:asciiTheme="minorHAnsi" w:hAnsiTheme="minorHAnsi"/>
        </w:rPr>
        <w:t>endogenous</w:t>
      </w:r>
      <w:r w:rsidR="00593088">
        <w:rPr>
          <w:rFonts w:asciiTheme="minorHAnsi" w:hAnsiTheme="minorHAnsi"/>
        </w:rPr>
        <w:t xml:space="preserve"> </w:t>
      </w:r>
      <w:r>
        <w:rPr>
          <w:rFonts w:asciiTheme="minorHAnsi" w:hAnsiTheme="minorHAnsi"/>
        </w:rPr>
        <w:t xml:space="preserve">variables </w:t>
      </w:r>
      <w:r w:rsidR="00593088">
        <w:rPr>
          <w:rFonts w:asciiTheme="minorHAnsi" w:hAnsiTheme="minorHAnsi"/>
        </w:rPr>
        <w:t xml:space="preserve">that could influence </w:t>
      </w:r>
      <w:r>
        <w:rPr>
          <w:rFonts w:asciiTheme="minorHAnsi" w:hAnsiTheme="minorHAnsi"/>
        </w:rPr>
        <w:t xml:space="preserve">both </w:t>
      </w:r>
      <w:r w:rsidR="00593088">
        <w:rPr>
          <w:rFonts w:asciiTheme="minorHAnsi" w:hAnsiTheme="minorHAnsi"/>
        </w:rPr>
        <w:t xml:space="preserve">child nutrition outcomes and </w:t>
      </w:r>
      <w:r w:rsidR="006B6EA0">
        <w:rPr>
          <w:rFonts w:asciiTheme="minorHAnsi" w:hAnsiTheme="minorHAnsi"/>
        </w:rPr>
        <w:t>forest cover</w:t>
      </w:r>
      <w:r w:rsidR="00593088">
        <w:rPr>
          <w:rFonts w:asciiTheme="minorHAnsi" w:hAnsiTheme="minorHAnsi"/>
        </w:rPr>
        <w:t>, such as population de</w:t>
      </w:r>
      <w:r>
        <w:rPr>
          <w:rFonts w:asciiTheme="minorHAnsi" w:hAnsiTheme="minorHAnsi"/>
        </w:rPr>
        <w:t xml:space="preserve">nsity, </w:t>
      </w:r>
      <w:r w:rsidR="00396AF1">
        <w:rPr>
          <w:rFonts w:asciiTheme="minorHAnsi" w:hAnsiTheme="minorHAnsi"/>
        </w:rPr>
        <w:t xml:space="preserve">the </w:t>
      </w:r>
      <w:r w:rsidR="00593088">
        <w:rPr>
          <w:rFonts w:asciiTheme="minorHAnsi" w:hAnsiTheme="minorHAnsi"/>
        </w:rPr>
        <w:t>distance to</w:t>
      </w:r>
      <w:r w:rsidR="00396AF1">
        <w:rPr>
          <w:rFonts w:asciiTheme="minorHAnsi" w:hAnsiTheme="minorHAnsi"/>
        </w:rPr>
        <w:t xml:space="preserve"> markets</w:t>
      </w:r>
      <w:r w:rsidR="00593088">
        <w:rPr>
          <w:rFonts w:asciiTheme="minorHAnsi" w:hAnsiTheme="minorHAnsi"/>
        </w:rPr>
        <w:t xml:space="preserve"> and towns</w:t>
      </w:r>
      <w:r>
        <w:rPr>
          <w:rFonts w:asciiTheme="minorHAnsi" w:hAnsiTheme="minorHAnsi"/>
        </w:rPr>
        <w:t>, and the presence of protected areas</w:t>
      </w:r>
      <w:r w:rsidR="00593088">
        <w:rPr>
          <w:rFonts w:asciiTheme="minorHAnsi" w:hAnsiTheme="minorHAnsi"/>
        </w:rPr>
        <w:t xml:space="preserve"> using</w:t>
      </w:r>
      <w:r>
        <w:rPr>
          <w:rFonts w:asciiTheme="minorHAnsi" w:hAnsiTheme="minorHAnsi"/>
        </w:rPr>
        <w:t xml:space="preserve"> the WorldPOP dataset,</w:t>
      </w:r>
      <w:r w:rsidR="00593088">
        <w:rPr>
          <w:rFonts w:asciiTheme="minorHAnsi" w:hAnsiTheme="minorHAnsi"/>
        </w:rPr>
        <w:t xml:space="preserve"> the IFPRI/HarvestChoice Market Distance dataset, </w:t>
      </w:r>
      <w:r>
        <w:rPr>
          <w:rFonts w:asciiTheme="minorHAnsi" w:hAnsiTheme="minorHAnsi"/>
        </w:rPr>
        <w:t>and</w:t>
      </w:r>
      <w:r w:rsidR="00593088">
        <w:rPr>
          <w:rFonts w:asciiTheme="minorHAnsi" w:hAnsiTheme="minorHAnsi"/>
        </w:rPr>
        <w:t xml:space="preserve"> the World Da</w:t>
      </w:r>
      <w:r w:rsidR="00ED7763">
        <w:rPr>
          <w:rFonts w:asciiTheme="minorHAnsi" w:hAnsiTheme="minorHAnsi"/>
        </w:rPr>
        <w:t>tabase of Protected Areas</w:t>
      </w:r>
      <w:r w:rsidR="00396AF1">
        <w:rPr>
          <w:rFonts w:asciiTheme="minorHAnsi" w:hAnsiTheme="minorHAnsi"/>
        </w:rPr>
        <w:t>.</w:t>
      </w:r>
      <w:r w:rsidR="00E16D33">
        <w:rPr>
          <w:rFonts w:asciiTheme="minorHAnsi" w:hAnsiTheme="minorHAnsi"/>
        </w:rPr>
        <w:t xml:space="preserve"> </w:t>
      </w:r>
      <w:r w:rsidR="0072396F">
        <w:rPr>
          <w:rFonts w:asciiTheme="minorHAnsi" w:hAnsiTheme="minorHAnsi"/>
        </w:rPr>
        <w:t xml:space="preserve">Controlling for all of these other relevant factors will allow us to </w:t>
      </w:r>
      <w:r>
        <w:rPr>
          <w:rFonts w:asciiTheme="minorHAnsi" w:hAnsiTheme="minorHAnsi"/>
        </w:rPr>
        <w:t xml:space="preserve">gauge the role </w:t>
      </w:r>
      <w:r w:rsidR="00ED52D9">
        <w:rPr>
          <w:rFonts w:asciiTheme="minorHAnsi" w:hAnsiTheme="minorHAnsi"/>
        </w:rPr>
        <w:t xml:space="preserve">that </w:t>
      </w:r>
      <w:r>
        <w:rPr>
          <w:rFonts w:asciiTheme="minorHAnsi" w:hAnsiTheme="minorHAnsi"/>
        </w:rPr>
        <w:t xml:space="preserve">natural areas </w:t>
      </w:r>
      <w:r w:rsidR="00ED52D9">
        <w:rPr>
          <w:rFonts w:asciiTheme="minorHAnsi" w:hAnsiTheme="minorHAnsi"/>
        </w:rPr>
        <w:t xml:space="preserve">may </w:t>
      </w:r>
      <w:r w:rsidR="004B38C1" w:rsidRPr="004B38C1">
        <w:rPr>
          <w:rFonts w:asciiTheme="minorHAnsi" w:hAnsiTheme="minorHAnsi"/>
        </w:rPr>
        <w:t xml:space="preserve">play in mitigating the effects of </w:t>
      </w:r>
      <w:r w:rsidR="009E01A9">
        <w:rPr>
          <w:rFonts w:asciiTheme="minorHAnsi" w:hAnsiTheme="minorHAnsi"/>
        </w:rPr>
        <w:t>rainfall deficits</w:t>
      </w:r>
      <w:r w:rsidR="00FF5F53">
        <w:rPr>
          <w:rFonts w:asciiTheme="minorHAnsi" w:hAnsiTheme="minorHAnsi"/>
        </w:rPr>
        <w:t xml:space="preserve"> on nutritional outcomes. </w:t>
      </w:r>
      <w:r w:rsidR="00DC7D02">
        <w:rPr>
          <w:rFonts w:asciiTheme="minorHAnsi" w:hAnsiTheme="minorHAnsi"/>
        </w:rPr>
        <w:t xml:space="preserve">We will then </w:t>
      </w:r>
      <w:r>
        <w:rPr>
          <w:rFonts w:asciiTheme="minorHAnsi" w:hAnsiTheme="minorHAnsi"/>
        </w:rPr>
        <w:t xml:space="preserve">be able to </w:t>
      </w:r>
      <w:r w:rsidR="00DC7D02">
        <w:rPr>
          <w:rFonts w:asciiTheme="minorHAnsi" w:hAnsiTheme="minorHAnsi"/>
        </w:rPr>
        <w:t xml:space="preserve">identify and map the </w:t>
      </w:r>
      <w:r>
        <w:rPr>
          <w:rFonts w:asciiTheme="minorHAnsi" w:hAnsiTheme="minorHAnsi"/>
        </w:rPr>
        <w:t>locations</w:t>
      </w:r>
      <w:r w:rsidR="00DC7D02">
        <w:rPr>
          <w:rFonts w:asciiTheme="minorHAnsi" w:hAnsiTheme="minorHAnsi"/>
        </w:rPr>
        <w:t xml:space="preserve"> where the presence of forests and other natural areas kept child malnutrition rates lower than all other relevant factors would have predicted.</w:t>
      </w:r>
      <w:r w:rsidR="00E16D33">
        <w:rPr>
          <w:rFonts w:asciiTheme="minorHAnsi" w:hAnsiTheme="minorHAnsi"/>
        </w:rPr>
        <w:t xml:space="preserve"> </w:t>
      </w:r>
      <w:r w:rsidR="00421D80">
        <w:rPr>
          <w:rFonts w:asciiTheme="minorHAnsi" w:hAnsiTheme="minorHAnsi"/>
        </w:rPr>
        <w:t xml:space="preserve">We estimate that it will take about six </w:t>
      </w:r>
      <w:r w:rsidR="00E16D33">
        <w:rPr>
          <w:rFonts w:asciiTheme="minorHAnsi" w:hAnsiTheme="minorHAnsi"/>
        </w:rPr>
        <w:t xml:space="preserve">to eight </w:t>
      </w:r>
      <w:r w:rsidR="00421D80">
        <w:rPr>
          <w:rFonts w:asciiTheme="minorHAnsi" w:hAnsiTheme="minorHAnsi"/>
        </w:rPr>
        <w:t>months to harmonize the DHS datasets</w:t>
      </w:r>
      <w:r w:rsidR="00E16D33">
        <w:rPr>
          <w:rFonts w:asciiTheme="minorHAnsi" w:hAnsiTheme="minorHAnsi"/>
        </w:rPr>
        <w:t>, extract all relevant geographic data for each DHS cluster,</w:t>
      </w:r>
      <w:r w:rsidR="00421D80">
        <w:rPr>
          <w:rFonts w:asciiTheme="minorHAnsi" w:hAnsiTheme="minorHAnsi"/>
        </w:rPr>
        <w:t xml:space="preserve"> and </w:t>
      </w:r>
      <w:r w:rsidR="00E16D33">
        <w:rPr>
          <w:rFonts w:asciiTheme="minorHAnsi" w:hAnsiTheme="minorHAnsi"/>
        </w:rPr>
        <w:t xml:space="preserve">then </w:t>
      </w:r>
      <w:r w:rsidR="005015EA">
        <w:rPr>
          <w:rFonts w:asciiTheme="minorHAnsi" w:hAnsiTheme="minorHAnsi"/>
        </w:rPr>
        <w:t xml:space="preserve">compile </w:t>
      </w:r>
      <w:r w:rsidR="00E16D33">
        <w:rPr>
          <w:rFonts w:asciiTheme="minorHAnsi" w:hAnsiTheme="minorHAnsi"/>
        </w:rPr>
        <w:t>all of the data</w:t>
      </w:r>
      <w:r w:rsidR="00421D80">
        <w:rPr>
          <w:rFonts w:asciiTheme="minorHAnsi" w:hAnsiTheme="minorHAnsi"/>
        </w:rPr>
        <w:t xml:space="preserve"> into </w:t>
      </w:r>
      <w:r w:rsidR="00E16D33">
        <w:rPr>
          <w:rFonts w:asciiTheme="minorHAnsi" w:hAnsiTheme="minorHAnsi"/>
        </w:rPr>
        <w:t>a cloud-based computer instance for analysis. It will then take another four months to conduct the actual analysis</w:t>
      </w:r>
      <w:r w:rsidR="007667BB">
        <w:rPr>
          <w:rFonts w:asciiTheme="minorHAnsi" w:hAnsiTheme="minorHAnsi"/>
        </w:rPr>
        <w:t>.</w:t>
      </w:r>
    </w:p>
    <w:p w14:paraId="486F5460" w14:textId="7714C897" w:rsidR="00421D80" w:rsidRPr="00421D80" w:rsidRDefault="00421D80" w:rsidP="00421D80">
      <w:pPr>
        <w:autoSpaceDE w:val="0"/>
        <w:autoSpaceDN w:val="0"/>
        <w:adjustRightInd w:val="0"/>
        <w:rPr>
          <w:rFonts w:asciiTheme="minorHAnsi" w:hAnsiTheme="minorHAnsi"/>
          <w:b/>
        </w:rPr>
      </w:pPr>
      <w:r w:rsidRPr="00421D80">
        <w:rPr>
          <w:rFonts w:asciiTheme="minorHAnsi" w:hAnsiTheme="minorHAnsi"/>
          <w:b/>
        </w:rPr>
        <w:t>PHASE II:</w:t>
      </w:r>
      <w:r w:rsidR="00E16D33">
        <w:rPr>
          <w:rFonts w:asciiTheme="minorHAnsi" w:hAnsiTheme="minorHAnsi"/>
          <w:b/>
        </w:rPr>
        <w:t xml:space="preserve"> </w:t>
      </w:r>
      <w:r w:rsidRPr="00421D80">
        <w:rPr>
          <w:rFonts w:asciiTheme="minorHAnsi" w:hAnsiTheme="minorHAnsi"/>
          <w:b/>
        </w:rPr>
        <w:t>SCALING UP AND CREATING IMPACT</w:t>
      </w:r>
    </w:p>
    <w:p w14:paraId="3ABBD637" w14:textId="47721300" w:rsidR="00593088" w:rsidRPr="004B38C1" w:rsidRDefault="00593088" w:rsidP="000F2276">
      <w:pPr>
        <w:spacing w:after="120"/>
        <w:rPr>
          <w:rFonts w:asciiTheme="minorHAnsi" w:hAnsiTheme="minorHAnsi"/>
        </w:rPr>
      </w:pPr>
      <w:r>
        <w:rPr>
          <w:rFonts w:asciiTheme="minorHAnsi" w:hAnsiTheme="minorHAnsi"/>
        </w:rPr>
        <w:tab/>
      </w:r>
      <w:r w:rsidR="00421D80">
        <w:rPr>
          <w:rFonts w:asciiTheme="minorHAnsi" w:hAnsiTheme="minorHAnsi"/>
        </w:rPr>
        <w:t xml:space="preserve">After successfully demonstrating </w:t>
      </w:r>
      <w:r w:rsidR="00E16D33">
        <w:rPr>
          <w:rFonts w:asciiTheme="minorHAnsi" w:hAnsiTheme="minorHAnsi"/>
        </w:rPr>
        <w:t xml:space="preserve">that we can identify which forests and forest types buffer nutrition from drought, we will expand our analysis to other geographies and communicate our results to policymakers. We will integrate DHS surveys from </w:t>
      </w:r>
      <w:r w:rsidR="005015EA">
        <w:rPr>
          <w:rFonts w:asciiTheme="minorHAnsi" w:hAnsiTheme="minorHAnsi"/>
        </w:rPr>
        <w:t xml:space="preserve">other parts of Africa and the developing world, as all of the </w:t>
      </w:r>
      <w:r w:rsidR="004B7530">
        <w:rPr>
          <w:rFonts w:asciiTheme="minorHAnsi" w:hAnsiTheme="minorHAnsi"/>
        </w:rPr>
        <w:t xml:space="preserve">other </w:t>
      </w:r>
      <w:r w:rsidR="005015EA">
        <w:rPr>
          <w:rFonts w:asciiTheme="minorHAnsi" w:hAnsiTheme="minorHAnsi"/>
        </w:rPr>
        <w:t xml:space="preserve">data sources </w:t>
      </w:r>
      <w:r w:rsidR="004B7530">
        <w:rPr>
          <w:rFonts w:asciiTheme="minorHAnsi" w:hAnsiTheme="minorHAnsi"/>
        </w:rPr>
        <w:t xml:space="preserve">we </w:t>
      </w:r>
      <w:r w:rsidR="005015EA">
        <w:rPr>
          <w:rFonts w:asciiTheme="minorHAnsi" w:hAnsiTheme="minorHAnsi"/>
        </w:rPr>
        <w:t>will draw on for the pilot are available globally</w:t>
      </w:r>
      <w:r w:rsidR="00E16D33">
        <w:rPr>
          <w:rFonts w:asciiTheme="minorHAnsi" w:hAnsiTheme="minorHAnsi"/>
        </w:rPr>
        <w:t>. Then, i</w:t>
      </w:r>
      <w:r>
        <w:rPr>
          <w:rFonts w:asciiTheme="minorHAnsi" w:hAnsiTheme="minorHAnsi"/>
        </w:rPr>
        <w:t>n order to connect the scientific analyses with policy, an interactive web map will be created to show which areas have historically contributed to positive child health outcomes during droughts.</w:t>
      </w:r>
      <w:r w:rsidR="00E16D33">
        <w:rPr>
          <w:rFonts w:asciiTheme="minorHAnsi" w:hAnsiTheme="minorHAnsi"/>
        </w:rPr>
        <w:t xml:space="preserve"> </w:t>
      </w:r>
      <w:r>
        <w:rPr>
          <w:rFonts w:asciiTheme="minorHAnsi" w:hAnsiTheme="minorHAnsi"/>
        </w:rPr>
        <w:t xml:space="preserve">This web map will use the Carto platform, which has previously been used in other successful </w:t>
      </w:r>
      <w:r w:rsidR="005015EA">
        <w:rPr>
          <w:rFonts w:asciiTheme="minorHAnsi" w:hAnsiTheme="minorHAnsi"/>
        </w:rPr>
        <w:t xml:space="preserve">data-driven </w:t>
      </w:r>
      <w:r>
        <w:rPr>
          <w:rFonts w:asciiTheme="minorHAnsi" w:hAnsiTheme="minorHAnsi"/>
        </w:rPr>
        <w:t xml:space="preserve">policy and decision support tools, such as the Global Forest Watch platform </w:t>
      </w:r>
      <w:r w:rsidR="00FB6CED">
        <w:rPr>
          <w:rFonts w:asciiTheme="minorHAnsi" w:hAnsiTheme="minorHAnsi"/>
        </w:rPr>
        <w:t xml:space="preserve">(globalforestwatch.org) </w:t>
      </w:r>
      <w:r>
        <w:rPr>
          <w:rFonts w:asciiTheme="minorHAnsi" w:hAnsiTheme="minorHAnsi"/>
        </w:rPr>
        <w:t>and the Resilience Atlas</w:t>
      </w:r>
      <w:r w:rsidR="00FB6CED">
        <w:rPr>
          <w:rFonts w:asciiTheme="minorHAnsi" w:hAnsiTheme="minorHAnsi"/>
        </w:rPr>
        <w:t xml:space="preserve"> (resilienceatlas.org)</w:t>
      </w:r>
      <w:r w:rsidR="00E16D33">
        <w:rPr>
          <w:rFonts w:asciiTheme="minorHAnsi" w:hAnsiTheme="minorHAnsi"/>
        </w:rPr>
        <w:t xml:space="preserve">. </w:t>
      </w:r>
      <w:r w:rsidR="006C34C4">
        <w:rPr>
          <w:rFonts w:asciiTheme="minorHAnsi" w:hAnsiTheme="minorHAnsi"/>
        </w:rPr>
        <w:t>Using the</w:t>
      </w:r>
      <w:r w:rsidR="00E16D33">
        <w:rPr>
          <w:rFonts w:asciiTheme="minorHAnsi" w:hAnsiTheme="minorHAnsi"/>
        </w:rPr>
        <w:t xml:space="preserve"> web map</w:t>
      </w:r>
      <w:r w:rsidR="005015EA">
        <w:rPr>
          <w:rFonts w:asciiTheme="minorHAnsi" w:hAnsiTheme="minorHAnsi"/>
        </w:rPr>
        <w:t>, the Vital Signs program</w:t>
      </w:r>
      <w:r w:rsidR="006C34C4">
        <w:rPr>
          <w:rFonts w:asciiTheme="minorHAnsi" w:hAnsiTheme="minorHAnsi"/>
        </w:rPr>
        <w:t xml:space="preserve"> will conduct</w:t>
      </w:r>
      <w:r w:rsidR="00E16D33">
        <w:rPr>
          <w:rFonts w:asciiTheme="minorHAnsi" w:hAnsiTheme="minorHAnsi"/>
        </w:rPr>
        <w:t xml:space="preserve"> stakeholder outreach </w:t>
      </w:r>
      <w:r w:rsidR="005327CD">
        <w:rPr>
          <w:rFonts w:asciiTheme="minorHAnsi" w:hAnsiTheme="minorHAnsi"/>
        </w:rPr>
        <w:t>and advocate for community based forest management</w:t>
      </w:r>
      <w:r w:rsidR="00ED7763">
        <w:rPr>
          <w:rFonts w:asciiTheme="minorHAnsi" w:hAnsiTheme="minorHAnsi"/>
        </w:rPr>
        <w:t xml:space="preserve">. </w:t>
      </w:r>
      <w:r w:rsidR="002D4A97">
        <w:rPr>
          <w:rFonts w:asciiTheme="minorHAnsi" w:hAnsiTheme="minorHAnsi"/>
        </w:rPr>
        <w:t>This will initially happen</w:t>
      </w:r>
      <w:r w:rsidR="005327CD">
        <w:rPr>
          <w:rFonts w:asciiTheme="minorHAnsi" w:hAnsiTheme="minorHAnsi"/>
        </w:rPr>
        <w:t xml:space="preserve"> </w:t>
      </w:r>
      <w:r w:rsidR="005015EA">
        <w:rPr>
          <w:rFonts w:asciiTheme="minorHAnsi" w:hAnsiTheme="minorHAnsi"/>
        </w:rPr>
        <w:t xml:space="preserve">through existing </w:t>
      </w:r>
      <w:r w:rsidR="005327CD">
        <w:rPr>
          <w:rFonts w:asciiTheme="minorHAnsi" w:hAnsiTheme="minorHAnsi"/>
        </w:rPr>
        <w:t>MOUs</w:t>
      </w:r>
      <w:r w:rsidR="005015EA">
        <w:rPr>
          <w:rFonts w:asciiTheme="minorHAnsi" w:hAnsiTheme="minorHAnsi"/>
        </w:rPr>
        <w:t xml:space="preserve"> with </w:t>
      </w:r>
      <w:r w:rsidR="005327CD">
        <w:rPr>
          <w:rFonts w:asciiTheme="minorHAnsi" w:hAnsiTheme="minorHAnsi"/>
        </w:rPr>
        <w:t>Ministries of the Environment</w:t>
      </w:r>
      <w:r w:rsidR="00ED7763">
        <w:rPr>
          <w:rFonts w:asciiTheme="minorHAnsi" w:hAnsiTheme="minorHAnsi"/>
        </w:rPr>
        <w:t xml:space="preserve"> and </w:t>
      </w:r>
      <w:r w:rsidR="005327CD">
        <w:rPr>
          <w:rFonts w:asciiTheme="minorHAnsi" w:hAnsiTheme="minorHAnsi"/>
        </w:rPr>
        <w:t>Agriculture across all</w:t>
      </w:r>
      <w:r w:rsidR="002D4A97">
        <w:rPr>
          <w:rFonts w:asciiTheme="minorHAnsi" w:hAnsiTheme="minorHAnsi"/>
        </w:rPr>
        <w:t xml:space="preserve"> four pilot countries, and will expand to other geographies as we </w:t>
      </w:r>
      <w:r w:rsidR="000F2276">
        <w:rPr>
          <w:rFonts w:asciiTheme="minorHAnsi" w:hAnsiTheme="minorHAnsi"/>
        </w:rPr>
        <w:t>scale up</w:t>
      </w:r>
      <w:r w:rsidR="005327CD">
        <w:rPr>
          <w:rFonts w:asciiTheme="minorHAnsi" w:hAnsiTheme="minorHAnsi"/>
        </w:rPr>
        <w:t>.</w:t>
      </w:r>
      <w:r w:rsidR="009044B1">
        <w:rPr>
          <w:rFonts w:asciiTheme="minorHAnsi" w:hAnsiTheme="minorHAnsi"/>
        </w:rPr>
        <w:t xml:space="preserve"> </w:t>
      </w:r>
      <w:r w:rsidR="004B7530">
        <w:rPr>
          <w:rFonts w:asciiTheme="minorHAnsi" w:hAnsiTheme="minorHAnsi"/>
        </w:rPr>
        <w:t xml:space="preserve">The ultimate </w:t>
      </w:r>
      <w:r w:rsidR="001D6AA7">
        <w:rPr>
          <w:rFonts w:asciiTheme="minorHAnsi" w:hAnsiTheme="minorHAnsi"/>
        </w:rPr>
        <w:t>impact</w:t>
      </w:r>
      <w:r w:rsidR="006C34C4">
        <w:rPr>
          <w:rFonts w:asciiTheme="minorHAnsi" w:hAnsiTheme="minorHAnsi"/>
        </w:rPr>
        <w:t xml:space="preserve"> of this study and subsequent policy outreach will be greater synergies between conservation and </w:t>
      </w:r>
      <w:r w:rsidR="00732043">
        <w:rPr>
          <w:rFonts w:asciiTheme="minorHAnsi" w:hAnsiTheme="minorHAnsi"/>
        </w:rPr>
        <w:t>human well-being –</w:t>
      </w:r>
      <w:r w:rsidR="006C34C4">
        <w:rPr>
          <w:rFonts w:asciiTheme="minorHAnsi" w:hAnsiTheme="minorHAnsi"/>
        </w:rPr>
        <w:t xml:space="preserve"> conservation that doesn’t exclude people and </w:t>
      </w:r>
      <w:r w:rsidR="00732043">
        <w:rPr>
          <w:rFonts w:asciiTheme="minorHAnsi" w:hAnsiTheme="minorHAnsi"/>
        </w:rPr>
        <w:t>human</w:t>
      </w:r>
      <w:r w:rsidR="004B7530">
        <w:rPr>
          <w:rFonts w:asciiTheme="minorHAnsi" w:hAnsiTheme="minorHAnsi"/>
        </w:rPr>
        <w:t xml:space="preserve"> development</w:t>
      </w:r>
      <w:r w:rsidR="006C34C4">
        <w:rPr>
          <w:rFonts w:asciiTheme="minorHAnsi" w:hAnsiTheme="minorHAnsi"/>
        </w:rPr>
        <w:t xml:space="preserve"> that isn’t at the expense of forests.</w:t>
      </w:r>
    </w:p>
    <w:sectPr w:rsidR="00593088" w:rsidRPr="004B38C1" w:rsidSect="00EC0A3B">
      <w:headerReference w:type="default" r:id="rId8"/>
      <w:footerReference w:type="even" r:id="rId9"/>
      <w:footerReference w:type="default" r:id="rId10"/>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2209B" w14:textId="77777777" w:rsidR="00AF0F73" w:rsidRDefault="00AF0F73" w:rsidP="0082230A">
      <w:r>
        <w:separator/>
      </w:r>
    </w:p>
  </w:endnote>
  <w:endnote w:type="continuationSeparator" w:id="0">
    <w:p w14:paraId="3F0A7FD9" w14:textId="77777777" w:rsidR="00AF0F73" w:rsidRDefault="00AF0F73"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F1BE2" w14:textId="77777777" w:rsidR="0082230A" w:rsidRDefault="0082230A" w:rsidP="006F6F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82230A" w:rsidRDefault="0082230A" w:rsidP="008223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47E7" w14:textId="55B456DF" w:rsidR="0082230A" w:rsidRPr="0082230A" w:rsidRDefault="0082230A" w:rsidP="006F6FF9">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061C95">
      <w:rPr>
        <w:rStyle w:val="PageNumber"/>
        <w:rFonts w:asciiTheme="minorHAnsi" w:hAnsiTheme="minorHAnsi"/>
        <w:noProof/>
      </w:rPr>
      <w:t>1</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008674E9">
      <w:rPr>
        <w:rStyle w:val="PageNumber"/>
        <w:rFonts w:asciiTheme="minorHAnsi" w:hAnsiTheme="minorHAnsi"/>
      </w:rPr>
      <w:t>2</w:t>
    </w:r>
  </w:p>
  <w:p w14:paraId="669A4381" w14:textId="5DE244E3" w:rsidR="00DA1FE9" w:rsidRPr="0082230A" w:rsidRDefault="00395795"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79A08A" id="_x0000_t202" coordsize="21600,21600" o:spt="202" path="m0,0l0,21600,21600,21600,2160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" filled="f" stroked="f">
              <v:textbo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sidR="00DA1FE9">
      <w:rPr>
        <w:rFonts w:asciiTheme="minorHAnsi" w:hAnsiTheme="minorHAnsi"/>
        <w:b/>
        <w:noProof/>
        <w:lang w:eastAsia="en-US"/>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82230A" w:rsidRPr="0082230A" w:rsidRDefault="0082230A"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1EBA7" w14:textId="77777777" w:rsidR="00AF0F73" w:rsidRDefault="00AF0F73" w:rsidP="0082230A">
      <w:r>
        <w:separator/>
      </w:r>
    </w:p>
  </w:footnote>
  <w:footnote w:type="continuationSeparator" w:id="0">
    <w:p w14:paraId="00375F8D" w14:textId="77777777" w:rsidR="00AF0F73" w:rsidRDefault="00AF0F73" w:rsidP="0082230A">
      <w:r>
        <w:continuationSeparator/>
      </w:r>
    </w:p>
  </w:footnote>
  <w:footnote w:id="1">
    <w:p w14:paraId="6893654C" w14:textId="77777777" w:rsidR="00EA6272" w:rsidRPr="00BF2280" w:rsidRDefault="00EA6272" w:rsidP="00EA6272">
      <w:pPr>
        <w:pStyle w:val="FootnoteText"/>
        <w:rPr>
          <w:rFonts w:asciiTheme="minorHAnsi" w:hAnsiTheme="minorHAnsi"/>
          <w:sz w:val="16"/>
          <w:szCs w:val="16"/>
        </w:rPr>
      </w:pPr>
      <w:r w:rsidRPr="004B38C1">
        <w:rPr>
          <w:rStyle w:val="FootnoteReference"/>
          <w:rFonts w:asciiTheme="minorHAnsi" w:hAnsiTheme="minorHAnsi"/>
          <w:sz w:val="16"/>
          <w:szCs w:val="16"/>
        </w:rPr>
        <w:footnoteRef/>
      </w:r>
      <w:r w:rsidRPr="004B38C1">
        <w:rPr>
          <w:rFonts w:asciiTheme="minorHAnsi" w:hAnsiTheme="minorHAnsi"/>
          <w:sz w:val="16"/>
          <w:szCs w:val="16"/>
        </w:rPr>
        <w:t xml:space="preserve"> </w:t>
      </w:r>
      <w:r w:rsidRPr="004B38C1">
        <w:rPr>
          <w:rFonts w:asciiTheme="minorHAnsi" w:hAnsiTheme="minorHAnsi"/>
          <w:color w:val="222222"/>
          <w:sz w:val="16"/>
          <w:szCs w:val="16"/>
          <w:shd w:val="clear" w:color="auto" w:fill="FFFFFF"/>
        </w:rPr>
        <w:t>Shively, Gerald E. "Infrastructure mitigates the sensitivity of child growth to local agriculture and rainfall in Nepal and Uganda."</w:t>
      </w:r>
      <w:r w:rsidRPr="004B38C1">
        <w:rPr>
          <w:rStyle w:val="apple-converted-space"/>
          <w:rFonts w:asciiTheme="minorHAnsi" w:hAnsiTheme="minorHAnsi"/>
          <w:color w:val="222222"/>
          <w:sz w:val="16"/>
          <w:szCs w:val="16"/>
          <w:shd w:val="clear" w:color="auto" w:fill="FFFFFF"/>
        </w:rPr>
        <w:t> </w:t>
      </w:r>
      <w:r w:rsidRPr="004B38C1">
        <w:rPr>
          <w:rFonts w:asciiTheme="minorHAnsi" w:hAnsiTheme="minorHAnsi"/>
          <w:i/>
          <w:iCs/>
          <w:color w:val="222222"/>
          <w:sz w:val="16"/>
          <w:szCs w:val="16"/>
          <w:shd w:val="clear" w:color="auto" w:fill="FFFFFF"/>
        </w:rPr>
        <w:t xml:space="preserve">Proceedings of the </w:t>
      </w:r>
      <w:r w:rsidRPr="00BF2280">
        <w:rPr>
          <w:rFonts w:asciiTheme="minorHAnsi" w:hAnsiTheme="minorHAnsi"/>
          <w:i/>
          <w:iCs/>
          <w:color w:val="222222"/>
          <w:sz w:val="16"/>
          <w:szCs w:val="16"/>
          <w:shd w:val="clear" w:color="auto" w:fill="FFFFFF"/>
        </w:rPr>
        <w:t>National Academy of Sciences</w:t>
      </w:r>
      <w:r w:rsidRPr="00BF2280">
        <w:rPr>
          <w:rStyle w:val="apple-converted-space"/>
          <w:rFonts w:asciiTheme="minorHAnsi" w:hAnsiTheme="minorHAnsi"/>
          <w:color w:val="222222"/>
          <w:sz w:val="16"/>
          <w:szCs w:val="16"/>
          <w:shd w:val="clear" w:color="auto" w:fill="FFFFFF"/>
        </w:rPr>
        <w:t> </w:t>
      </w:r>
      <w:r w:rsidRPr="00BF2280">
        <w:rPr>
          <w:rFonts w:asciiTheme="minorHAnsi" w:hAnsiTheme="minorHAnsi"/>
          <w:color w:val="222222"/>
          <w:sz w:val="16"/>
          <w:szCs w:val="16"/>
          <w:shd w:val="clear" w:color="auto" w:fill="FFFFFF"/>
        </w:rPr>
        <w:t>114.5 (2017): 903-908.</w:t>
      </w:r>
    </w:p>
  </w:footnote>
  <w:footnote w:id="2">
    <w:p w14:paraId="6BA22A12" w14:textId="4F2720E6" w:rsidR="00BF2280" w:rsidRPr="00BF2280" w:rsidRDefault="00BF2280">
      <w:pPr>
        <w:pStyle w:val="FootnoteText"/>
        <w:rPr>
          <w:rFonts w:asciiTheme="minorHAnsi" w:hAnsiTheme="minorHAnsi"/>
          <w:sz w:val="16"/>
          <w:szCs w:val="16"/>
        </w:rPr>
      </w:pPr>
      <w:r w:rsidRPr="00BF2280">
        <w:rPr>
          <w:rStyle w:val="FootnoteReference"/>
          <w:rFonts w:asciiTheme="minorHAnsi" w:hAnsiTheme="minorHAnsi"/>
          <w:sz w:val="16"/>
          <w:szCs w:val="16"/>
        </w:rPr>
        <w:footnoteRef/>
      </w:r>
      <w:r w:rsidRPr="00BF2280">
        <w:rPr>
          <w:rFonts w:asciiTheme="minorHAnsi" w:hAnsiTheme="minorHAnsi"/>
          <w:sz w:val="16"/>
          <w:szCs w:val="16"/>
        </w:rPr>
        <w:t xml:space="preserve"> Rasmussen, Laura </w:t>
      </w:r>
      <w:proofErr w:type="spellStart"/>
      <w:r w:rsidRPr="00BF2280">
        <w:rPr>
          <w:rFonts w:asciiTheme="minorHAnsi" w:hAnsiTheme="minorHAnsi"/>
          <w:sz w:val="16"/>
          <w:szCs w:val="16"/>
        </w:rPr>
        <w:t>Vang</w:t>
      </w:r>
      <w:proofErr w:type="spellEnd"/>
      <w:r w:rsidRPr="00BF2280">
        <w:rPr>
          <w:rFonts w:asciiTheme="minorHAnsi" w:hAnsiTheme="minorHAnsi"/>
          <w:sz w:val="16"/>
          <w:szCs w:val="16"/>
        </w:rPr>
        <w:t xml:space="preserve">, </w:t>
      </w:r>
      <w:proofErr w:type="spellStart"/>
      <w:r w:rsidRPr="00BF2280">
        <w:rPr>
          <w:rFonts w:asciiTheme="minorHAnsi" w:hAnsiTheme="minorHAnsi"/>
          <w:sz w:val="16"/>
          <w:szCs w:val="16"/>
        </w:rPr>
        <w:t>Cristy</w:t>
      </w:r>
      <w:proofErr w:type="spellEnd"/>
      <w:r w:rsidRPr="00BF2280">
        <w:rPr>
          <w:rFonts w:asciiTheme="minorHAnsi" w:hAnsiTheme="minorHAnsi"/>
          <w:sz w:val="16"/>
          <w:szCs w:val="16"/>
        </w:rPr>
        <w:t xml:space="preserve"> Watkins, and </w:t>
      </w:r>
      <w:proofErr w:type="spellStart"/>
      <w:r w:rsidRPr="00BF2280">
        <w:rPr>
          <w:rFonts w:asciiTheme="minorHAnsi" w:hAnsiTheme="minorHAnsi"/>
          <w:sz w:val="16"/>
          <w:szCs w:val="16"/>
        </w:rPr>
        <w:t>Arun</w:t>
      </w:r>
      <w:proofErr w:type="spellEnd"/>
      <w:r w:rsidRPr="00BF2280">
        <w:rPr>
          <w:rFonts w:asciiTheme="minorHAnsi" w:hAnsiTheme="minorHAnsi"/>
          <w:sz w:val="16"/>
          <w:szCs w:val="16"/>
        </w:rPr>
        <w:t xml:space="preserve"> Agrawal. "Forest contributions to livelihoods in changing agriculture-forest landscapes." </w:t>
      </w:r>
      <w:r w:rsidRPr="005015EA">
        <w:rPr>
          <w:rFonts w:asciiTheme="minorHAnsi" w:hAnsiTheme="minorHAnsi"/>
          <w:i/>
          <w:sz w:val="16"/>
          <w:szCs w:val="16"/>
        </w:rPr>
        <w:t xml:space="preserve">Forest Policy and Economics </w:t>
      </w:r>
      <w:r w:rsidRPr="00BF2280">
        <w:rPr>
          <w:rFonts w:asciiTheme="minorHAnsi" w:hAnsiTheme="minorHAnsi"/>
          <w:sz w:val="16"/>
          <w:szCs w:val="16"/>
        </w:rPr>
        <w:t>(2017).</w:t>
      </w:r>
    </w:p>
  </w:footnote>
  <w:footnote w:id="3">
    <w:p w14:paraId="380972DC" w14:textId="77777777" w:rsidR="00BF2280" w:rsidRPr="00BF2280" w:rsidRDefault="00BF2280" w:rsidP="00BF2280">
      <w:pPr>
        <w:pStyle w:val="FootnoteText"/>
        <w:rPr>
          <w:rFonts w:asciiTheme="minorHAnsi" w:hAnsiTheme="minorHAnsi"/>
          <w:sz w:val="16"/>
          <w:szCs w:val="16"/>
        </w:rPr>
      </w:pPr>
      <w:r w:rsidRPr="00BF2280">
        <w:rPr>
          <w:rStyle w:val="FootnoteReference"/>
          <w:rFonts w:asciiTheme="minorHAnsi" w:hAnsiTheme="minorHAnsi"/>
          <w:sz w:val="16"/>
          <w:szCs w:val="16"/>
        </w:rPr>
        <w:footnoteRef/>
      </w:r>
      <w:r w:rsidRPr="00BF2280">
        <w:rPr>
          <w:rFonts w:asciiTheme="minorHAnsi" w:hAnsiTheme="minorHAnsi"/>
          <w:sz w:val="16"/>
          <w:szCs w:val="16"/>
        </w:rPr>
        <w:t xml:space="preserve"> </w:t>
      </w:r>
      <w:r w:rsidRPr="00BF2280">
        <w:rPr>
          <w:rFonts w:asciiTheme="minorHAnsi" w:hAnsiTheme="minorHAnsi" w:cs="Arial"/>
          <w:color w:val="222222"/>
          <w:sz w:val="16"/>
          <w:szCs w:val="16"/>
          <w:shd w:val="clear" w:color="auto" w:fill="FFFFFF"/>
        </w:rPr>
        <w:t xml:space="preserve">Powell, </w:t>
      </w:r>
      <w:proofErr w:type="spellStart"/>
      <w:r w:rsidRPr="00BF2280">
        <w:rPr>
          <w:rFonts w:asciiTheme="minorHAnsi" w:hAnsiTheme="minorHAnsi" w:cs="Arial"/>
          <w:color w:val="222222"/>
          <w:sz w:val="16"/>
          <w:szCs w:val="16"/>
          <w:shd w:val="clear" w:color="auto" w:fill="FFFFFF"/>
        </w:rPr>
        <w:t>Bronwen</w:t>
      </w:r>
      <w:proofErr w:type="spellEnd"/>
      <w:r w:rsidRPr="00BF2280">
        <w:rPr>
          <w:rFonts w:asciiTheme="minorHAnsi" w:hAnsiTheme="minorHAnsi" w:cs="Arial"/>
          <w:color w:val="222222"/>
          <w:sz w:val="16"/>
          <w:szCs w:val="16"/>
          <w:shd w:val="clear" w:color="auto" w:fill="FFFFFF"/>
        </w:rPr>
        <w:t>, et al. "Improving diets with wild and cultivated biodiversity from across the landscape." </w:t>
      </w:r>
      <w:r w:rsidRPr="00BF2280">
        <w:rPr>
          <w:rFonts w:asciiTheme="minorHAnsi" w:hAnsiTheme="minorHAnsi" w:cs="Arial"/>
          <w:i/>
          <w:iCs/>
          <w:color w:val="222222"/>
          <w:sz w:val="16"/>
          <w:szCs w:val="16"/>
          <w:shd w:val="clear" w:color="auto" w:fill="FFFFFF"/>
        </w:rPr>
        <w:t>Food Security</w:t>
      </w:r>
      <w:r w:rsidRPr="00BF2280">
        <w:rPr>
          <w:rFonts w:asciiTheme="minorHAnsi" w:hAnsiTheme="minorHAnsi" w:cs="Arial"/>
          <w:color w:val="222222"/>
          <w:sz w:val="16"/>
          <w:szCs w:val="16"/>
          <w:shd w:val="clear" w:color="auto" w:fill="FFFFFF"/>
        </w:rPr>
        <w:t> 7.3 (2015): 535-554.</w:t>
      </w:r>
    </w:p>
  </w:footnote>
  <w:footnote w:id="4">
    <w:p w14:paraId="135D30B7" w14:textId="4CA2BFBC" w:rsidR="00BF2280" w:rsidRPr="00BF2280" w:rsidRDefault="00BF2280">
      <w:pPr>
        <w:pStyle w:val="FootnoteText"/>
        <w:rPr>
          <w:rFonts w:asciiTheme="minorHAnsi" w:hAnsiTheme="minorHAnsi"/>
          <w:sz w:val="16"/>
          <w:szCs w:val="16"/>
        </w:rPr>
      </w:pPr>
      <w:r w:rsidRPr="00BF2280">
        <w:rPr>
          <w:rStyle w:val="FootnoteReference"/>
          <w:rFonts w:asciiTheme="minorHAnsi" w:hAnsiTheme="minorHAnsi"/>
          <w:sz w:val="16"/>
          <w:szCs w:val="16"/>
        </w:rPr>
        <w:footnoteRef/>
      </w:r>
      <w:r w:rsidRPr="00BF2280">
        <w:rPr>
          <w:rFonts w:asciiTheme="minorHAnsi" w:hAnsiTheme="minorHAnsi"/>
          <w:sz w:val="16"/>
          <w:szCs w:val="16"/>
        </w:rPr>
        <w:t xml:space="preserve"> </w:t>
      </w:r>
      <w:r w:rsidRPr="00BF2280">
        <w:rPr>
          <w:rFonts w:asciiTheme="minorHAnsi" w:hAnsiTheme="minorHAnsi" w:cs="Arial"/>
          <w:color w:val="222222"/>
          <w:sz w:val="16"/>
          <w:szCs w:val="16"/>
          <w:shd w:val="clear" w:color="auto" w:fill="FFFFFF"/>
        </w:rPr>
        <w:t>Mortimore, Michael. "Adapting to drought in the Sahel: lessons for climate change." </w:t>
      </w:r>
      <w:r w:rsidRPr="00BF2280">
        <w:rPr>
          <w:rFonts w:asciiTheme="minorHAnsi" w:hAnsiTheme="minorHAnsi" w:cs="Arial"/>
          <w:i/>
          <w:iCs/>
          <w:color w:val="222222"/>
          <w:sz w:val="16"/>
          <w:szCs w:val="16"/>
          <w:shd w:val="clear" w:color="auto" w:fill="FFFFFF"/>
        </w:rPr>
        <w:t>Wiley interdisciplinary reviews: climate change</w:t>
      </w:r>
      <w:r w:rsidRPr="00BF2280">
        <w:rPr>
          <w:rFonts w:asciiTheme="minorHAnsi" w:hAnsiTheme="minorHAnsi" w:cs="Arial"/>
          <w:color w:val="222222"/>
          <w:sz w:val="16"/>
          <w:szCs w:val="16"/>
          <w:shd w:val="clear" w:color="auto" w:fill="FFFFFF"/>
        </w:rPr>
        <w:t> 1.1 (2010): 134-143.</w:t>
      </w:r>
    </w:p>
  </w:footnote>
  <w:footnote w:id="5">
    <w:p w14:paraId="6246A54B" w14:textId="1FDC08BC" w:rsidR="00BF2280" w:rsidRPr="00E4033E" w:rsidRDefault="00BF2280" w:rsidP="00E4033E">
      <w:pPr>
        <w:rPr>
          <w:rFonts w:asciiTheme="minorHAnsi" w:hAnsiTheme="minorHAnsi"/>
          <w:sz w:val="16"/>
          <w:szCs w:val="16"/>
        </w:rPr>
      </w:pPr>
      <w:r w:rsidRPr="00BF2280">
        <w:rPr>
          <w:rStyle w:val="FootnoteReference"/>
          <w:rFonts w:asciiTheme="minorHAnsi" w:hAnsiTheme="minorHAnsi"/>
          <w:sz w:val="16"/>
          <w:szCs w:val="16"/>
        </w:rPr>
        <w:footnoteRef/>
      </w:r>
      <w:r w:rsidRPr="00BF2280">
        <w:rPr>
          <w:rFonts w:asciiTheme="minorHAnsi" w:hAnsiTheme="minorHAnsi"/>
          <w:sz w:val="16"/>
          <w:szCs w:val="16"/>
        </w:rPr>
        <w:t xml:space="preserve"> Reed, James, et al. "Trees for life: the ecosystem service contribution of trees to food production and livelihoods in the tropics." </w:t>
      </w:r>
      <w:r w:rsidRPr="00BF2280">
        <w:rPr>
          <w:rFonts w:asciiTheme="minorHAnsi" w:hAnsiTheme="minorHAnsi"/>
          <w:i/>
          <w:sz w:val="16"/>
          <w:szCs w:val="16"/>
        </w:rPr>
        <w:t>Forest Policy and Economics</w:t>
      </w:r>
      <w:r w:rsidRPr="00BF2280">
        <w:rPr>
          <w:rFonts w:asciiTheme="minorHAnsi" w:hAnsiTheme="minorHAnsi"/>
          <w:sz w:val="16"/>
          <w:szCs w:val="16"/>
        </w:rPr>
        <w:t xml:space="preserve"> (2017).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0B19" w14:textId="4471507E" w:rsidR="0082230A" w:rsidRPr="00EC0A3B" w:rsidRDefault="00277B7D" w:rsidP="00277B7D">
    <w:pPr>
      <w:pStyle w:val="Header"/>
      <w:tabs>
        <w:tab w:val="clear" w:pos="4680"/>
        <w:tab w:val="clear" w:pos="9360"/>
        <w:tab w:val="center" w:pos="5040"/>
        <w:tab w:val="right" w:pos="10080"/>
      </w:tabs>
      <w:rPr>
        <w:rFonts w:asciiTheme="minorHAnsi" w:hAnsiTheme="minorHAnsi"/>
        <w:b/>
      </w:rPr>
    </w:pPr>
    <w:r>
      <w:rPr>
        <w:rFonts w:asciiTheme="minorHAnsi" w:hAnsiTheme="minorHAnsi"/>
        <w:b/>
        <w:noProof/>
        <w:lang w:eastAsia="en-US"/>
      </w:rPr>
      <w:drawing>
        <wp:anchor distT="0" distB="0" distL="114300" distR="114300" simplePos="0" relativeHeight="251660288" behindDoc="0" locked="0" layoutInCell="1" allowOverlap="1" wp14:anchorId="4499F916" wp14:editId="22A72749">
          <wp:simplePos x="0" y="0"/>
          <wp:positionH relativeFrom="column">
            <wp:posOffset>12305</wp:posOffset>
          </wp:positionH>
          <wp:positionV relativeFrom="paragraph">
            <wp:posOffset>116018</wp:posOffset>
          </wp:positionV>
          <wp:extent cx="702129" cy="368618"/>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FOR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129" cy="368618"/>
                  </a:xfrm>
                  <a:prstGeom prst="rect">
                    <a:avLst/>
                  </a:prstGeom>
                </pic:spPr>
              </pic:pic>
            </a:graphicData>
          </a:graphic>
          <wp14:sizeRelH relativeFrom="page">
            <wp14:pctWidth>0</wp14:pctWidth>
          </wp14:sizeRelH>
          <wp14:sizeRelV relativeFrom="page">
            <wp14:pctHeight>0</wp14:pctHeight>
          </wp14:sizeRelV>
        </wp:anchor>
      </w:drawing>
    </w:r>
    <w:r w:rsidR="00C93659">
      <w:rPr>
        <w:rFonts w:asciiTheme="minorHAnsi" w:hAnsiTheme="minorHAnsi"/>
        <w:b/>
      </w:rPr>
      <w:tab/>
    </w:r>
    <w:r w:rsidR="00FF5F53">
      <w:rPr>
        <w:rFonts w:asciiTheme="minorHAnsi" w:hAnsiTheme="minorHAnsi"/>
        <w:b/>
        <w:noProof/>
        <w:lang w:eastAsia="en-US"/>
      </w:rPr>
      <w:drawing>
        <wp:inline distT="0" distB="0" distL="0" distR="0" wp14:anchorId="77C12C47" wp14:editId="155F9600">
          <wp:extent cx="1754155" cy="339093"/>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extLst>
                      <a:ext uri="{28A0092B-C50C-407E-A947-70E740481C1C}">
                        <a14:useLocalDpi xmlns:a14="http://schemas.microsoft.com/office/drawing/2010/main" val="0"/>
                      </a:ext>
                    </a:extLst>
                  </a:blip>
                  <a:stretch>
                    <a:fillRect/>
                  </a:stretch>
                </pic:blipFill>
                <pic:spPr>
                  <a:xfrm>
                    <a:off x="0" y="0"/>
                    <a:ext cx="1754601" cy="339179"/>
                  </a:xfrm>
                  <a:prstGeom prst="rect">
                    <a:avLst/>
                  </a:prstGeom>
                </pic:spPr>
              </pic:pic>
            </a:graphicData>
          </a:graphic>
        </wp:inline>
      </w:drawing>
    </w:r>
    <w:r w:rsidR="00C93659">
      <w:rPr>
        <w:rFonts w:asciiTheme="minorHAnsi" w:hAnsiTheme="minorHAnsi"/>
        <w:b/>
      </w:rPr>
      <w:tab/>
    </w:r>
    <w:r w:rsidR="004B38C1">
      <w:rPr>
        <w:rFonts w:asciiTheme="minorHAnsi" w:hAnsiTheme="minorHAnsi"/>
        <w:b/>
        <w:noProof/>
        <w:lang w:eastAsia="en-US"/>
      </w:rPr>
      <w:drawing>
        <wp:inline distT="0" distB="0" distL="0" distR="0" wp14:anchorId="0EE9DCAA" wp14:editId="0FC2ECC6">
          <wp:extent cx="1287624" cy="5365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0px-CIlogo.svg.png"/>
                  <pic:cNvPicPr/>
                </pic:nvPicPr>
                <pic:blipFill>
                  <a:blip r:embed="rId3">
                    <a:extLst>
                      <a:ext uri="{28A0092B-C50C-407E-A947-70E740481C1C}">
                        <a14:useLocalDpi xmlns:a14="http://schemas.microsoft.com/office/drawing/2010/main" val="0"/>
                      </a:ext>
                    </a:extLst>
                  </a:blip>
                  <a:stretch>
                    <a:fillRect/>
                  </a:stretch>
                </pic:blipFill>
                <pic:spPr>
                  <a:xfrm>
                    <a:off x="0" y="0"/>
                    <a:ext cx="1294560" cy="5394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0A"/>
    <w:rsid w:val="00027605"/>
    <w:rsid w:val="00061C95"/>
    <w:rsid w:val="00091AE3"/>
    <w:rsid w:val="000D2BB2"/>
    <w:rsid w:val="000D6E0A"/>
    <w:rsid w:val="000E0742"/>
    <w:rsid w:val="000E368E"/>
    <w:rsid w:val="000F2276"/>
    <w:rsid w:val="00114C29"/>
    <w:rsid w:val="00131D73"/>
    <w:rsid w:val="001C0806"/>
    <w:rsid w:val="001D6AA7"/>
    <w:rsid w:val="00253A96"/>
    <w:rsid w:val="00266938"/>
    <w:rsid w:val="00277B7D"/>
    <w:rsid w:val="002D4A97"/>
    <w:rsid w:val="002E1B87"/>
    <w:rsid w:val="002E36C9"/>
    <w:rsid w:val="003444A1"/>
    <w:rsid w:val="00351166"/>
    <w:rsid w:val="00395795"/>
    <w:rsid w:val="00396AF1"/>
    <w:rsid w:val="003A02D9"/>
    <w:rsid w:val="003C3EAD"/>
    <w:rsid w:val="00421D80"/>
    <w:rsid w:val="00422901"/>
    <w:rsid w:val="00430BF5"/>
    <w:rsid w:val="00435981"/>
    <w:rsid w:val="0049193D"/>
    <w:rsid w:val="004B38C1"/>
    <w:rsid w:val="004B7530"/>
    <w:rsid w:val="005015EA"/>
    <w:rsid w:val="005324DC"/>
    <w:rsid w:val="005327CD"/>
    <w:rsid w:val="00587EE2"/>
    <w:rsid w:val="00593088"/>
    <w:rsid w:val="005F765A"/>
    <w:rsid w:val="00635B11"/>
    <w:rsid w:val="006A36D5"/>
    <w:rsid w:val="006B6EA0"/>
    <w:rsid w:val="006C34C4"/>
    <w:rsid w:val="006F6FF9"/>
    <w:rsid w:val="007039F9"/>
    <w:rsid w:val="00717DEF"/>
    <w:rsid w:val="0072396F"/>
    <w:rsid w:val="00732043"/>
    <w:rsid w:val="007667BB"/>
    <w:rsid w:val="007C110C"/>
    <w:rsid w:val="007D4C87"/>
    <w:rsid w:val="00800832"/>
    <w:rsid w:val="00812D1B"/>
    <w:rsid w:val="0082230A"/>
    <w:rsid w:val="008674E9"/>
    <w:rsid w:val="009044B1"/>
    <w:rsid w:val="00980E9F"/>
    <w:rsid w:val="00983989"/>
    <w:rsid w:val="009A1017"/>
    <w:rsid w:val="009D5B23"/>
    <w:rsid w:val="009E01A9"/>
    <w:rsid w:val="00A53A1C"/>
    <w:rsid w:val="00A66B7B"/>
    <w:rsid w:val="00A949C6"/>
    <w:rsid w:val="00A96F7C"/>
    <w:rsid w:val="00AA035C"/>
    <w:rsid w:val="00AC7362"/>
    <w:rsid w:val="00AE6E49"/>
    <w:rsid w:val="00AF0F73"/>
    <w:rsid w:val="00AF5E6F"/>
    <w:rsid w:val="00B23B9E"/>
    <w:rsid w:val="00B528AD"/>
    <w:rsid w:val="00B659C4"/>
    <w:rsid w:val="00B9563B"/>
    <w:rsid w:val="00BF2280"/>
    <w:rsid w:val="00C16A54"/>
    <w:rsid w:val="00C2019B"/>
    <w:rsid w:val="00C93659"/>
    <w:rsid w:val="00D262AC"/>
    <w:rsid w:val="00D664B5"/>
    <w:rsid w:val="00DA1FE9"/>
    <w:rsid w:val="00DC7D02"/>
    <w:rsid w:val="00E16D33"/>
    <w:rsid w:val="00E4033E"/>
    <w:rsid w:val="00E5026A"/>
    <w:rsid w:val="00E540C1"/>
    <w:rsid w:val="00EA6272"/>
    <w:rsid w:val="00EC0A3B"/>
    <w:rsid w:val="00ED2DB1"/>
    <w:rsid w:val="00ED52D9"/>
    <w:rsid w:val="00ED7763"/>
    <w:rsid w:val="00EE32D1"/>
    <w:rsid w:val="00F112C4"/>
    <w:rsid w:val="00F87D3B"/>
    <w:rsid w:val="00FB6CED"/>
    <w:rsid w:val="00FD455F"/>
    <w:rsid w:val="00FF3222"/>
    <w:rsid w:val="00FF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BalloonText">
    <w:name w:val="Balloon Text"/>
    <w:basedOn w:val="Normal"/>
    <w:link w:val="BalloonTextChar"/>
    <w:uiPriority w:val="99"/>
    <w:semiHidden/>
    <w:unhideWhenUsed/>
    <w:rsid w:val="004B38C1"/>
    <w:rPr>
      <w:rFonts w:ascii="Tahoma" w:hAnsi="Tahoma" w:cs="Tahoma"/>
      <w:sz w:val="16"/>
      <w:szCs w:val="16"/>
    </w:rPr>
  </w:style>
  <w:style w:type="character" w:customStyle="1" w:styleId="BalloonTextChar">
    <w:name w:val="Balloon Text Char"/>
    <w:basedOn w:val="DefaultParagraphFont"/>
    <w:link w:val="BalloonText"/>
    <w:uiPriority w:val="99"/>
    <w:semiHidden/>
    <w:rsid w:val="004B38C1"/>
    <w:rPr>
      <w:rFonts w:ascii="Tahoma" w:eastAsia="MS Mincho" w:hAnsi="Tahoma" w:cs="Tahoma"/>
      <w:sz w:val="16"/>
      <w:szCs w:val="16"/>
      <w:lang w:eastAsia="ja-JP"/>
    </w:rPr>
  </w:style>
  <w:style w:type="paragraph" w:styleId="FootnoteText">
    <w:name w:val="footnote text"/>
    <w:basedOn w:val="Normal"/>
    <w:link w:val="FootnoteTextChar"/>
    <w:uiPriority w:val="99"/>
    <w:semiHidden/>
    <w:unhideWhenUsed/>
    <w:rsid w:val="004B38C1"/>
    <w:rPr>
      <w:rFonts w:ascii="Cambria" w:eastAsia="Cambria" w:hAnsi="Cambria"/>
      <w:sz w:val="20"/>
      <w:lang w:eastAsia="en-US"/>
    </w:rPr>
  </w:style>
  <w:style w:type="character" w:customStyle="1" w:styleId="FootnoteTextChar">
    <w:name w:val="Footnote Text Char"/>
    <w:basedOn w:val="DefaultParagraphFont"/>
    <w:link w:val="FootnoteText"/>
    <w:uiPriority w:val="99"/>
    <w:semiHidden/>
    <w:rsid w:val="004B38C1"/>
    <w:rPr>
      <w:rFonts w:ascii="Cambria" w:eastAsia="Cambria" w:hAnsi="Cambria" w:cs="Times New Roman"/>
      <w:sz w:val="20"/>
      <w:szCs w:val="20"/>
    </w:rPr>
  </w:style>
  <w:style w:type="character" w:styleId="FootnoteReference">
    <w:name w:val="footnote reference"/>
    <w:uiPriority w:val="99"/>
    <w:semiHidden/>
    <w:unhideWhenUsed/>
    <w:rsid w:val="004B38C1"/>
    <w:rPr>
      <w:vertAlign w:val="superscript"/>
    </w:rPr>
  </w:style>
  <w:style w:type="character" w:customStyle="1" w:styleId="apple-converted-space">
    <w:name w:val="apple-converted-space"/>
    <w:rsid w:val="004B38C1"/>
  </w:style>
  <w:style w:type="character" w:styleId="Hyperlink">
    <w:name w:val="Hyperlink"/>
    <w:basedOn w:val="DefaultParagraphFont"/>
    <w:uiPriority w:val="99"/>
    <w:unhideWhenUsed/>
    <w:rsid w:val="00FB6CED"/>
    <w:rPr>
      <w:color w:val="0563C1" w:themeColor="hyperlink"/>
      <w:u w:val="single"/>
    </w:rPr>
  </w:style>
  <w:style w:type="character" w:styleId="CommentReference">
    <w:name w:val="annotation reference"/>
    <w:basedOn w:val="DefaultParagraphFont"/>
    <w:uiPriority w:val="99"/>
    <w:semiHidden/>
    <w:unhideWhenUsed/>
    <w:rsid w:val="00ED52D9"/>
    <w:rPr>
      <w:sz w:val="18"/>
      <w:szCs w:val="18"/>
    </w:rPr>
  </w:style>
  <w:style w:type="paragraph" w:styleId="CommentText">
    <w:name w:val="annotation text"/>
    <w:basedOn w:val="Normal"/>
    <w:link w:val="CommentTextChar"/>
    <w:uiPriority w:val="99"/>
    <w:semiHidden/>
    <w:unhideWhenUsed/>
    <w:rsid w:val="00ED52D9"/>
    <w:rPr>
      <w:szCs w:val="24"/>
    </w:rPr>
  </w:style>
  <w:style w:type="character" w:customStyle="1" w:styleId="CommentTextChar">
    <w:name w:val="Comment Text Char"/>
    <w:basedOn w:val="DefaultParagraphFont"/>
    <w:link w:val="CommentText"/>
    <w:uiPriority w:val="99"/>
    <w:semiHidden/>
    <w:rsid w:val="00ED52D9"/>
    <w:rPr>
      <w:rFonts w:ascii="Book Antiqua" w:eastAsia="MS Mincho" w:hAnsi="Book Antiqua" w:cs="Times New Roman"/>
      <w:lang w:eastAsia="ja-JP"/>
    </w:rPr>
  </w:style>
  <w:style w:type="paragraph" w:styleId="CommentSubject">
    <w:name w:val="annotation subject"/>
    <w:basedOn w:val="CommentText"/>
    <w:next w:val="CommentText"/>
    <w:link w:val="CommentSubjectChar"/>
    <w:uiPriority w:val="99"/>
    <w:semiHidden/>
    <w:unhideWhenUsed/>
    <w:rsid w:val="00ED52D9"/>
    <w:rPr>
      <w:b/>
      <w:bCs/>
      <w:sz w:val="20"/>
      <w:szCs w:val="20"/>
    </w:rPr>
  </w:style>
  <w:style w:type="character" w:customStyle="1" w:styleId="CommentSubjectChar">
    <w:name w:val="Comment Subject Char"/>
    <w:basedOn w:val="CommentTextChar"/>
    <w:link w:val="CommentSubject"/>
    <w:uiPriority w:val="99"/>
    <w:semiHidden/>
    <w:rsid w:val="00ED52D9"/>
    <w:rPr>
      <w:rFonts w:ascii="Book Antiqua" w:eastAsia="MS Mincho" w:hAnsi="Book Antiqua"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 w:id="20352272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ECBD715-1C5D-2C48-9BED-3C5F21BC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1081</Words>
  <Characters>6164</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Conservation International</Company>
  <LinksUpToDate>false</LinksUpToDate>
  <CharactersWithSpaces>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brendan.moroso</dc:creator>
  <cp:lastModifiedBy>Ickowitz, Amy   (CIFOR)</cp:lastModifiedBy>
  <cp:revision>3</cp:revision>
  <dcterms:created xsi:type="dcterms:W3CDTF">2017-09-08T11:45:00Z</dcterms:created>
  <dcterms:modified xsi:type="dcterms:W3CDTF">2017-09-08T11:50:00Z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