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FF787" w14:textId="005D3D8E" w:rsidR="00422901" w:rsidRPr="00983989" w:rsidRDefault="0082230A" w:rsidP="0082230A">
      <w:pPr>
        <w:spacing w:beforeLines="50" w:before="120"/>
        <w:rPr>
          <w:rFonts w:asciiTheme="minorHAnsi" w:hAnsiTheme="minorHAnsi" w:cs="Arial"/>
          <w:b/>
          <w:color w:val="767171" w:themeColor="background2" w:themeShade="80"/>
          <w:szCs w:val="24"/>
        </w:rPr>
      </w:pPr>
      <w:r w:rsidRPr="00983989">
        <w:rPr>
          <w:rFonts w:asciiTheme="minorHAnsi" w:hAnsiTheme="minorHAnsi" w:cs="Arial"/>
          <w:b/>
          <w:color w:val="767171" w:themeColor="background2" w:themeShade="80"/>
          <w:szCs w:val="24"/>
        </w:rPr>
        <w:t>What is your idea?</w:t>
      </w:r>
      <w:r w:rsidR="00E27502">
        <w:rPr>
          <w:rFonts w:asciiTheme="minorHAnsi" w:hAnsiTheme="minorHAnsi" w:cs="Arial"/>
          <w:b/>
          <w:color w:val="767171" w:themeColor="background2" w:themeShade="80"/>
          <w:szCs w:val="24"/>
        </w:rPr>
        <w:t xml:space="preserve"> (for Disrupting Impact Assessment)</w:t>
      </w:r>
      <w:r w:rsidR="00B26FC2">
        <w:rPr>
          <w:rFonts w:asciiTheme="minorHAnsi" w:hAnsiTheme="minorHAnsi" w:cs="Arial"/>
          <w:b/>
          <w:color w:val="767171" w:themeColor="background2" w:themeShade="80"/>
          <w:szCs w:val="24"/>
        </w:rPr>
        <w:t>: Impact-Investment Demonstrator</w:t>
      </w:r>
    </w:p>
    <w:p w14:paraId="6B280F50" w14:textId="77777777" w:rsidR="007E598A" w:rsidRDefault="00F61496" w:rsidP="00422901">
      <w:pPr>
        <w:spacing w:beforeLines="50" w:before="120"/>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 xml:space="preserve">Estimating </w:t>
      </w:r>
      <w:r w:rsidR="00FD4E20">
        <w:rPr>
          <w:rFonts w:asciiTheme="minorHAnsi" w:hAnsiTheme="minorHAnsi" w:cs="Arial"/>
          <w:color w:val="767171" w:themeColor="background2" w:themeShade="80"/>
          <w:szCs w:val="24"/>
        </w:rPr>
        <w:t>the efficiency</w:t>
      </w:r>
      <w:r>
        <w:rPr>
          <w:rFonts w:asciiTheme="minorHAnsi" w:hAnsiTheme="minorHAnsi" w:cs="Arial"/>
          <w:color w:val="767171" w:themeColor="background2" w:themeShade="80"/>
          <w:szCs w:val="24"/>
        </w:rPr>
        <w:t xml:space="preserve"> of investment in research</w:t>
      </w:r>
      <w:r w:rsidR="00FD4E20">
        <w:rPr>
          <w:rFonts w:asciiTheme="minorHAnsi" w:hAnsiTheme="minorHAnsi" w:cs="Arial"/>
          <w:color w:val="767171" w:themeColor="background2" w:themeShade="80"/>
          <w:szCs w:val="24"/>
        </w:rPr>
        <w:t xml:space="preserve"> &amp; development</w:t>
      </w:r>
      <w:r>
        <w:rPr>
          <w:rFonts w:asciiTheme="minorHAnsi" w:hAnsiTheme="minorHAnsi" w:cs="Arial"/>
          <w:color w:val="767171" w:themeColor="background2" w:themeShade="80"/>
          <w:szCs w:val="24"/>
        </w:rPr>
        <w:t xml:space="preserve"> on societal goals</w:t>
      </w:r>
      <w:r w:rsidR="00FD4E20">
        <w:rPr>
          <w:rFonts w:asciiTheme="minorHAnsi" w:hAnsiTheme="minorHAnsi" w:cs="Arial"/>
          <w:color w:val="767171" w:themeColor="background2" w:themeShade="80"/>
          <w:szCs w:val="24"/>
        </w:rPr>
        <w:t xml:space="preserve"> and desired impacts</w:t>
      </w:r>
      <w:r>
        <w:rPr>
          <w:rFonts w:asciiTheme="minorHAnsi" w:hAnsiTheme="minorHAnsi" w:cs="Arial"/>
          <w:color w:val="767171" w:themeColor="background2" w:themeShade="80"/>
          <w:szCs w:val="24"/>
        </w:rPr>
        <w:t xml:space="preserve"> like mal nutrition, hunger, gender inequality, digital divide, social inclusion is complex and no established method exists so far to link research activities and investment in research to end-impacts. In their 2016 PNAS article, Van </w:t>
      </w:r>
      <w:proofErr w:type="spellStart"/>
      <w:r>
        <w:rPr>
          <w:rFonts w:asciiTheme="minorHAnsi" w:hAnsiTheme="minorHAnsi" w:cs="Arial"/>
          <w:color w:val="767171" w:themeColor="background2" w:themeShade="80"/>
          <w:szCs w:val="24"/>
        </w:rPr>
        <w:t>Ittersum</w:t>
      </w:r>
      <w:proofErr w:type="spellEnd"/>
      <w:r>
        <w:rPr>
          <w:rFonts w:asciiTheme="minorHAnsi" w:hAnsiTheme="minorHAnsi" w:cs="Arial"/>
          <w:color w:val="767171" w:themeColor="background2" w:themeShade="80"/>
          <w:szCs w:val="24"/>
        </w:rPr>
        <w:t xml:space="preserve"> et al. explore th</w:t>
      </w:r>
      <w:r w:rsidR="00FD4E20">
        <w:rPr>
          <w:rFonts w:asciiTheme="minorHAnsi" w:hAnsiTheme="minorHAnsi" w:cs="Arial"/>
          <w:color w:val="767171" w:themeColor="background2" w:themeShade="80"/>
          <w:szCs w:val="24"/>
        </w:rPr>
        <w:t>e relationship between food self-sufficiency and agricultural productivity, and link potential-to-produce to other indicators, also introducing a thought experimenting on the potential of Sub-Saharan Africa to feed itself by 2050. This idea could be extrapolated and implemented on a much larger scale using Big Data &amp; linked data techniques, linking data sources on societal goals, agricultural productivity, research investments and bi</w:t>
      </w:r>
      <w:r w:rsidR="00FD4E20" w:rsidRPr="00FD4E20">
        <w:rPr>
          <w:rFonts w:asciiTheme="minorHAnsi" w:hAnsiTheme="minorHAnsi" w:cs="Arial"/>
          <w:b/>
          <w:color w:val="767171" w:themeColor="background2" w:themeShade="80"/>
          <w:szCs w:val="24"/>
        </w:rPr>
        <w:t>o</w:t>
      </w:r>
      <w:r w:rsidR="00FD4E20">
        <w:rPr>
          <w:rFonts w:asciiTheme="minorHAnsi" w:hAnsiTheme="minorHAnsi" w:cs="Arial"/>
          <w:color w:val="767171" w:themeColor="background2" w:themeShade="80"/>
          <w:szCs w:val="24"/>
        </w:rPr>
        <w:t>physical characteristics</w:t>
      </w:r>
      <w:r w:rsidR="00C65E9F">
        <w:rPr>
          <w:rFonts w:asciiTheme="minorHAnsi" w:hAnsiTheme="minorHAnsi" w:cs="Arial"/>
          <w:color w:val="767171" w:themeColor="background2" w:themeShade="80"/>
          <w:szCs w:val="24"/>
        </w:rPr>
        <w:t xml:space="preserve"> into a Big Data Lake. As argued in Lokers et al (2016), </w:t>
      </w:r>
      <w:r w:rsidR="007E598A">
        <w:rPr>
          <w:rFonts w:asciiTheme="minorHAnsi" w:hAnsiTheme="minorHAnsi" w:cs="Arial"/>
          <w:color w:val="767171" w:themeColor="background2" w:themeShade="80"/>
          <w:szCs w:val="24"/>
        </w:rPr>
        <w:t xml:space="preserve">building </w:t>
      </w:r>
      <w:r w:rsidR="00C65E9F">
        <w:rPr>
          <w:rFonts w:asciiTheme="minorHAnsi" w:hAnsiTheme="minorHAnsi" w:cs="Arial"/>
          <w:color w:val="767171" w:themeColor="background2" w:themeShade="80"/>
          <w:szCs w:val="24"/>
        </w:rPr>
        <w:t>new applications using big</w:t>
      </w:r>
      <w:r w:rsidR="007E598A">
        <w:rPr>
          <w:rFonts w:asciiTheme="minorHAnsi" w:hAnsiTheme="minorHAnsi" w:cs="Arial"/>
          <w:color w:val="767171" w:themeColor="background2" w:themeShade="80"/>
          <w:szCs w:val="24"/>
        </w:rPr>
        <w:t xml:space="preserve"> data requires the alignment of multiple data sets in a big data collection, so that the creativity of researchers and innovators can be released for finding new innovative uses of the data.</w:t>
      </w:r>
    </w:p>
    <w:p w14:paraId="39B41130" w14:textId="55C571CD" w:rsidR="00E27502" w:rsidRDefault="00AC0B8C" w:rsidP="00422901">
      <w:pPr>
        <w:spacing w:beforeLines="50" w:before="120"/>
        <w:rPr>
          <w:rFonts w:asciiTheme="minorHAnsi" w:hAnsiTheme="minorHAnsi" w:cs="Arial"/>
          <w:color w:val="767171" w:themeColor="background2" w:themeShade="80"/>
          <w:szCs w:val="24"/>
        </w:rPr>
      </w:pPr>
      <w:r>
        <w:rPr>
          <w:rFonts w:asciiTheme="minorHAnsi" w:hAnsiTheme="minorHAnsi" w:cs="Arial"/>
          <w:b/>
          <w:noProof/>
          <w:color w:val="767171" w:themeColor="background2" w:themeShade="80"/>
          <w:szCs w:val="24"/>
          <w:lang w:val="en-GB" w:eastAsia="en-GB"/>
        </w:rPr>
        <w:drawing>
          <wp:anchor distT="0" distB="0" distL="114300" distR="114300" simplePos="0" relativeHeight="251658240" behindDoc="0" locked="0" layoutInCell="1" allowOverlap="1" wp14:anchorId="24679667" wp14:editId="5FC8C05C">
            <wp:simplePos x="0" y="0"/>
            <wp:positionH relativeFrom="column">
              <wp:posOffset>3375025</wp:posOffset>
            </wp:positionH>
            <wp:positionV relativeFrom="paragraph">
              <wp:posOffset>2205990</wp:posOffset>
            </wp:positionV>
            <wp:extent cx="2958465" cy="2076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8465" cy="2076450"/>
                    </a:xfrm>
                    <a:prstGeom prst="rect">
                      <a:avLst/>
                    </a:prstGeom>
                    <a:noFill/>
                  </pic:spPr>
                </pic:pic>
              </a:graphicData>
            </a:graphic>
            <wp14:sizeRelH relativeFrom="page">
              <wp14:pctWidth>0</wp14:pctWidth>
            </wp14:sizeRelH>
            <wp14:sizeRelV relativeFrom="page">
              <wp14:pctHeight>0</wp14:pctHeight>
            </wp14:sizeRelV>
          </wp:anchor>
        </w:drawing>
      </w:r>
      <w:r w:rsidR="00981F2C">
        <w:rPr>
          <w:noProof/>
          <w:lang w:val="en-GB" w:eastAsia="en-GB"/>
        </w:rPr>
        <mc:AlternateContent>
          <mc:Choice Requires="wps">
            <w:drawing>
              <wp:anchor distT="0" distB="0" distL="114300" distR="114300" simplePos="0" relativeHeight="251660288" behindDoc="0" locked="0" layoutInCell="1" allowOverlap="1" wp14:anchorId="059B8F9A" wp14:editId="12ABAA8E">
                <wp:simplePos x="0" y="0"/>
                <wp:positionH relativeFrom="column">
                  <wp:posOffset>3257550</wp:posOffset>
                </wp:positionH>
                <wp:positionV relativeFrom="paragraph">
                  <wp:posOffset>4423410</wp:posOffset>
                </wp:positionV>
                <wp:extent cx="3076575" cy="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076575" cy="635"/>
                        </a:xfrm>
                        <a:prstGeom prst="rect">
                          <a:avLst/>
                        </a:prstGeom>
                        <a:solidFill>
                          <a:prstClr val="white"/>
                        </a:solidFill>
                        <a:ln>
                          <a:noFill/>
                        </a:ln>
                        <a:effectLst/>
                      </wps:spPr>
                      <wps:txbx>
                        <w:txbxContent>
                          <w:p w14:paraId="37EDBC41" w14:textId="6A023155" w:rsidR="00981F2C" w:rsidRPr="00036D51" w:rsidRDefault="00981F2C" w:rsidP="00981F2C">
                            <w:pPr>
                              <w:pStyle w:val="Caption"/>
                              <w:rPr>
                                <w:rFonts w:cs="Arial"/>
                                <w:noProof/>
                                <w:color w:val="767171" w:themeColor="background2" w:themeShade="80"/>
                                <w:sz w:val="24"/>
                                <w:szCs w:val="24"/>
                              </w:rPr>
                            </w:pPr>
                            <w:r>
                              <w:t xml:space="preserve">Figure </w:t>
                            </w:r>
                            <w:fldSimple w:instr=" SEQ Figure \* ARABIC ">
                              <w:r>
                                <w:rPr>
                                  <w:noProof/>
                                </w:rPr>
                                <w:t>1</w:t>
                              </w:r>
                            </w:fldSimple>
                            <w:r>
                              <w:t xml:space="preserve"> Conceptual overview for the approach</w:t>
                            </w:r>
                            <w:r w:rsidR="00AC0B8C">
                              <w:t xml:space="preserve"> (causalities are not assumed, just correlations)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6.5pt;margin-top:348.3pt;width:242.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" stroked="f">
                <v:textbox style="mso-fit-shape-to-text:t" inset="0,0,0,0">
                  <w:txbxContent>
                    <w:p w14:paraId="37EDBC41" w14:textId="6A023155" w:rsidR="00981F2C" w:rsidRPr="00036D51" w:rsidRDefault="00981F2C" w:rsidP="00981F2C">
                      <w:pPr>
                        <w:pStyle w:val="Caption"/>
                        <w:rPr>
                          <w:rFonts w:cs="Arial"/>
                          <w:noProof/>
                          <w:color w:val="767171" w:themeColor="background2" w:themeShade="80"/>
                          <w:sz w:val="24"/>
                          <w:szCs w:val="24"/>
                        </w:rPr>
                      </w:pPr>
                      <w:r>
                        <w:t xml:space="preserve">Figure </w:t>
                      </w:r>
                      <w:r w:rsidR="002A5670">
                        <w:fldChar w:fldCharType="begin"/>
                      </w:r>
                      <w:r w:rsidR="002A5670">
                        <w:instrText xml:space="preserve"> SEQ Figure \* ARABIC </w:instrText>
                      </w:r>
                      <w:r w:rsidR="002A5670">
                        <w:fldChar w:fldCharType="separate"/>
                      </w:r>
                      <w:r>
                        <w:rPr>
                          <w:noProof/>
                        </w:rPr>
                        <w:t>1</w:t>
                      </w:r>
                      <w:r w:rsidR="002A5670">
                        <w:rPr>
                          <w:noProof/>
                        </w:rPr>
                        <w:fldChar w:fldCharType="end"/>
                      </w:r>
                      <w:r>
                        <w:t xml:space="preserve"> Conceptual overview for the approach</w:t>
                      </w:r>
                      <w:r w:rsidR="00AC0B8C">
                        <w:t xml:space="preserve"> (causalities are not assumed, just correlations)</w:t>
                      </w:r>
                    </w:p>
                  </w:txbxContent>
                </v:textbox>
                <w10:wrap type="square"/>
              </v:shape>
            </w:pict>
          </mc:Fallback>
        </mc:AlternateContent>
      </w:r>
      <w:r w:rsidR="007E598A" w:rsidRPr="00034138">
        <w:rPr>
          <w:rFonts w:asciiTheme="minorHAnsi" w:hAnsiTheme="minorHAnsi" w:cs="Arial"/>
          <w:b/>
          <w:color w:val="767171" w:themeColor="background2" w:themeShade="80"/>
          <w:szCs w:val="24"/>
        </w:rPr>
        <w:t>This Inspire project develops an Impact-Investment-demonstrator, that assesses the links between desired end impacts (as mal-nutrition, hunger, gender inequality, social inclusion) and</w:t>
      </w:r>
      <w:r w:rsidR="00034138" w:rsidRPr="00034138">
        <w:rPr>
          <w:rFonts w:asciiTheme="minorHAnsi" w:hAnsiTheme="minorHAnsi" w:cs="Arial"/>
          <w:b/>
          <w:color w:val="767171" w:themeColor="background2" w:themeShade="80"/>
          <w:szCs w:val="24"/>
        </w:rPr>
        <w:t xml:space="preserve"> donor</w:t>
      </w:r>
      <w:r w:rsidR="007E598A" w:rsidRPr="00034138">
        <w:rPr>
          <w:rFonts w:asciiTheme="minorHAnsi" w:hAnsiTheme="minorHAnsi" w:cs="Arial"/>
          <w:b/>
          <w:color w:val="767171" w:themeColor="background2" w:themeShade="80"/>
          <w:szCs w:val="24"/>
        </w:rPr>
        <w:t xml:space="preserve"> investments in research &amp; development </w:t>
      </w:r>
      <w:r w:rsidR="00034138" w:rsidRPr="00034138">
        <w:rPr>
          <w:rFonts w:asciiTheme="minorHAnsi" w:hAnsiTheme="minorHAnsi" w:cs="Arial"/>
          <w:b/>
          <w:color w:val="767171" w:themeColor="background2" w:themeShade="80"/>
          <w:szCs w:val="24"/>
        </w:rPr>
        <w:t xml:space="preserve">using agricultural productivity as an intermediate outcome indicator. The </w:t>
      </w:r>
      <w:proofErr w:type="spellStart"/>
      <w:r w:rsidR="00034138" w:rsidRPr="00034138">
        <w:rPr>
          <w:rFonts w:asciiTheme="minorHAnsi" w:hAnsiTheme="minorHAnsi" w:cs="Arial"/>
          <w:b/>
          <w:color w:val="767171" w:themeColor="background2" w:themeShade="80"/>
          <w:szCs w:val="24"/>
        </w:rPr>
        <w:t>impactInvestment</w:t>
      </w:r>
      <w:proofErr w:type="spellEnd"/>
      <w:r w:rsidR="00034138" w:rsidRPr="00034138">
        <w:rPr>
          <w:rFonts w:asciiTheme="minorHAnsi" w:hAnsiTheme="minorHAnsi" w:cs="Arial"/>
          <w:b/>
          <w:color w:val="767171" w:themeColor="background2" w:themeShade="80"/>
          <w:szCs w:val="24"/>
        </w:rPr>
        <w:t xml:space="preserve">-demonstrator uses with Big Data techniques for </w:t>
      </w:r>
      <w:proofErr w:type="spellStart"/>
      <w:r w:rsidR="00034138" w:rsidRPr="00034138">
        <w:rPr>
          <w:rFonts w:asciiTheme="minorHAnsi" w:hAnsiTheme="minorHAnsi" w:cs="Arial"/>
          <w:b/>
          <w:color w:val="767171" w:themeColor="background2" w:themeShade="80"/>
          <w:szCs w:val="24"/>
        </w:rPr>
        <w:t>analysing</w:t>
      </w:r>
      <w:proofErr w:type="spellEnd"/>
      <w:r w:rsidR="00034138" w:rsidRPr="00034138">
        <w:rPr>
          <w:rFonts w:asciiTheme="minorHAnsi" w:hAnsiTheme="minorHAnsi" w:cs="Arial"/>
          <w:b/>
          <w:color w:val="767171" w:themeColor="background2" w:themeShade="80"/>
          <w:szCs w:val="24"/>
        </w:rPr>
        <w:t xml:space="preserve"> links between diverse data sets (capturing the different elements along the impact chain) brought together in a Big Data Lake. The </w:t>
      </w:r>
      <w:proofErr w:type="spellStart"/>
      <w:r w:rsidR="00034138" w:rsidRPr="00034138">
        <w:rPr>
          <w:rFonts w:asciiTheme="minorHAnsi" w:hAnsiTheme="minorHAnsi" w:cs="Arial"/>
          <w:b/>
          <w:color w:val="767171" w:themeColor="background2" w:themeShade="80"/>
          <w:szCs w:val="24"/>
        </w:rPr>
        <w:t>ImpactInvestment</w:t>
      </w:r>
      <w:proofErr w:type="spellEnd"/>
      <w:r w:rsidR="00034138" w:rsidRPr="00034138">
        <w:rPr>
          <w:rFonts w:asciiTheme="minorHAnsi" w:hAnsiTheme="minorHAnsi" w:cs="Arial"/>
          <w:b/>
          <w:color w:val="767171" w:themeColor="background2" w:themeShade="80"/>
          <w:szCs w:val="24"/>
        </w:rPr>
        <w:t xml:space="preserve"> demonstrator will be applicable to a wide range of commodities and aims for global coverage, and can thus be used for the different CRP’s part of CGIAR’s research portfolio.</w:t>
      </w:r>
      <w:r w:rsidR="00034138">
        <w:rPr>
          <w:rFonts w:asciiTheme="minorHAnsi" w:hAnsiTheme="minorHAnsi" w:cs="Arial"/>
          <w:b/>
          <w:color w:val="767171" w:themeColor="background2" w:themeShade="80"/>
          <w:szCs w:val="24"/>
        </w:rPr>
        <w:t xml:space="preserve"> </w:t>
      </w:r>
      <w:r w:rsidR="00034138">
        <w:rPr>
          <w:rFonts w:asciiTheme="minorHAnsi" w:hAnsiTheme="minorHAnsi" w:cs="Arial"/>
          <w:color w:val="767171" w:themeColor="background2" w:themeShade="80"/>
          <w:szCs w:val="24"/>
        </w:rPr>
        <w:t xml:space="preserve">The demonstrator will thus lower the costs of Impact Assessment and improve the targeting of donor funding, as it will deliver basic data sets of status of end impacts, donor investment, and agricultural productivity combined with indications of relationships between these variables. </w:t>
      </w:r>
      <w:r w:rsidR="00627D06">
        <w:rPr>
          <w:rFonts w:asciiTheme="minorHAnsi" w:hAnsiTheme="minorHAnsi" w:cs="Arial"/>
          <w:color w:val="767171" w:themeColor="background2" w:themeShade="80"/>
          <w:szCs w:val="24"/>
        </w:rPr>
        <w:t>The further development of the demonstrator will enable the tracking of t</w:t>
      </w:r>
      <w:r w:rsidR="00F02FD5">
        <w:rPr>
          <w:rFonts w:asciiTheme="minorHAnsi" w:hAnsiTheme="minorHAnsi" w:cs="Arial"/>
          <w:color w:val="767171" w:themeColor="background2" w:themeShade="80"/>
          <w:szCs w:val="24"/>
        </w:rPr>
        <w:t xml:space="preserve">he impact of the donor portfolio year-to-year. </w:t>
      </w:r>
    </w:p>
    <w:p w14:paraId="3E8A91D0" w14:textId="6AC62BF0" w:rsidR="00D5159E" w:rsidRDefault="00627D06" w:rsidP="00422901">
      <w:pPr>
        <w:spacing w:beforeLines="50" w:before="120"/>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 xml:space="preserve">The research team consists of Wageningen University and Research and CIMMYT. Wageningen UR has a long track record in systems thinking and linking different systems components, and in recent years has established several big data collections as an </w:t>
      </w:r>
      <w:proofErr w:type="spellStart"/>
      <w:r>
        <w:rPr>
          <w:rFonts w:asciiTheme="minorHAnsi" w:hAnsiTheme="minorHAnsi" w:cs="Arial"/>
          <w:color w:val="767171" w:themeColor="background2" w:themeShade="80"/>
          <w:szCs w:val="24"/>
        </w:rPr>
        <w:t>accelator</w:t>
      </w:r>
      <w:proofErr w:type="spellEnd"/>
      <w:r>
        <w:rPr>
          <w:rFonts w:asciiTheme="minorHAnsi" w:hAnsiTheme="minorHAnsi" w:cs="Arial"/>
          <w:color w:val="767171" w:themeColor="background2" w:themeShade="80"/>
          <w:szCs w:val="24"/>
        </w:rPr>
        <w:t xml:space="preserve"> to innovation in research and business (see Lokers et al. 2016 &amp; Knapen et al. 2017). CIMMYT has a long track record in agricultural innovations in agricultural systems, and has a thorough understanding of the CGIAR’s impact assessment system. </w:t>
      </w:r>
    </w:p>
    <w:p w14:paraId="4AE1DEDC" w14:textId="78886923" w:rsidR="0082230A" w:rsidRPr="00983989" w:rsidRDefault="00C93659" w:rsidP="0082230A">
      <w:pPr>
        <w:autoSpaceDE w:val="0"/>
        <w:autoSpaceDN w:val="0"/>
        <w:adjustRightInd w:val="0"/>
        <w:spacing w:beforeLines="50" w:before="120"/>
        <w:rPr>
          <w:rFonts w:asciiTheme="minorHAnsi" w:eastAsia="Arial Unicode MS" w:hAnsiTheme="minorHAnsi" w:cs="Arial"/>
          <w:b/>
          <w:bCs/>
          <w:color w:val="767171" w:themeColor="background2" w:themeShade="80"/>
          <w:szCs w:val="24"/>
        </w:rPr>
      </w:pPr>
      <w:r w:rsidRPr="00983989">
        <w:rPr>
          <w:rFonts w:asciiTheme="minorHAnsi" w:eastAsia="Arial Unicode MS" w:hAnsiTheme="minorHAnsi" w:cs="Arial"/>
          <w:b/>
          <w:bCs/>
          <w:color w:val="767171" w:themeColor="background2" w:themeShade="80"/>
          <w:szCs w:val="24"/>
        </w:rPr>
        <w:t>How will you pilot it</w:t>
      </w:r>
      <w:r w:rsidR="0082230A" w:rsidRPr="00983989">
        <w:rPr>
          <w:rFonts w:asciiTheme="minorHAnsi" w:eastAsia="Arial Unicode MS" w:hAnsiTheme="minorHAnsi" w:cs="Arial"/>
          <w:b/>
          <w:bCs/>
          <w:color w:val="767171" w:themeColor="background2" w:themeShade="80"/>
          <w:szCs w:val="24"/>
        </w:rPr>
        <w:t>?</w:t>
      </w:r>
    </w:p>
    <w:p w14:paraId="18B42B22" w14:textId="35ABE817" w:rsidR="00194ADF" w:rsidRDefault="002F3EE2" w:rsidP="00AC0B8C">
      <w:pPr>
        <w:autoSpaceDE w:val="0"/>
        <w:autoSpaceDN w:val="0"/>
        <w:adjustRightInd w:val="0"/>
        <w:spacing w:beforeLines="50" w:before="120"/>
        <w:rPr>
          <w:rFonts w:asciiTheme="minorHAnsi" w:hAnsiTheme="minorHAnsi" w:cs="Arial"/>
          <w:color w:val="767171" w:themeColor="background2" w:themeShade="80"/>
          <w:szCs w:val="24"/>
        </w:rPr>
      </w:pPr>
      <w:r w:rsidRPr="00AC0B8C">
        <w:rPr>
          <w:rFonts w:asciiTheme="minorHAnsi" w:hAnsiTheme="minorHAnsi" w:cs="Arial"/>
          <w:color w:val="767171" w:themeColor="background2" w:themeShade="80"/>
          <w:szCs w:val="24"/>
        </w:rPr>
        <w:t xml:space="preserve">For the </w:t>
      </w:r>
      <w:proofErr w:type="spellStart"/>
      <w:r w:rsidR="00627D06" w:rsidRPr="00AC0B8C">
        <w:rPr>
          <w:rFonts w:asciiTheme="minorHAnsi" w:hAnsiTheme="minorHAnsi" w:cs="Arial"/>
          <w:color w:val="767171" w:themeColor="background2" w:themeShade="80"/>
          <w:szCs w:val="24"/>
        </w:rPr>
        <w:t>ImpactInvestment</w:t>
      </w:r>
      <w:proofErr w:type="spellEnd"/>
      <w:r w:rsidRPr="00AC0B8C">
        <w:rPr>
          <w:rFonts w:asciiTheme="minorHAnsi" w:hAnsiTheme="minorHAnsi" w:cs="Arial"/>
          <w:color w:val="767171" w:themeColor="background2" w:themeShade="80"/>
          <w:szCs w:val="24"/>
        </w:rPr>
        <w:t xml:space="preserve"> demonstrator, three parts need to be build. First,</w:t>
      </w:r>
      <w:r w:rsidR="00AC0B8C" w:rsidRPr="00AC0B8C">
        <w:rPr>
          <w:rFonts w:asciiTheme="minorHAnsi" w:hAnsiTheme="minorHAnsi" w:cs="Arial"/>
          <w:color w:val="767171" w:themeColor="background2" w:themeShade="80"/>
          <w:szCs w:val="24"/>
        </w:rPr>
        <w:t xml:space="preserve"> </w:t>
      </w:r>
      <w:r w:rsidR="009A58AA" w:rsidRPr="00AC0B8C">
        <w:rPr>
          <w:rFonts w:asciiTheme="minorHAnsi" w:hAnsiTheme="minorHAnsi" w:cs="Arial"/>
          <w:color w:val="767171" w:themeColor="background2" w:themeShade="80"/>
          <w:szCs w:val="24"/>
        </w:rPr>
        <w:t xml:space="preserve"> an essential data collection needs to </w:t>
      </w:r>
      <w:proofErr w:type="spellStart"/>
      <w:r w:rsidR="009A58AA" w:rsidRPr="00AC0B8C">
        <w:rPr>
          <w:rFonts w:asciiTheme="minorHAnsi" w:hAnsiTheme="minorHAnsi" w:cs="Arial"/>
          <w:color w:val="767171" w:themeColor="background2" w:themeShade="80"/>
          <w:szCs w:val="24"/>
        </w:rPr>
        <w:t>created</w:t>
      </w:r>
      <w:proofErr w:type="spellEnd"/>
      <w:r w:rsidR="009A58AA" w:rsidRPr="00AC0B8C">
        <w:rPr>
          <w:rFonts w:asciiTheme="minorHAnsi" w:hAnsiTheme="minorHAnsi" w:cs="Arial"/>
          <w:color w:val="767171" w:themeColor="background2" w:themeShade="80"/>
          <w:szCs w:val="24"/>
        </w:rPr>
        <w:t xml:space="preserve"> </w:t>
      </w:r>
      <w:r w:rsidR="009A58AA" w:rsidRPr="00AC0B8C">
        <w:rPr>
          <w:rFonts w:asciiTheme="minorHAnsi" w:hAnsiTheme="minorHAnsi" w:cs="Arial"/>
          <w:b/>
          <w:color w:val="767171" w:themeColor="background2" w:themeShade="80"/>
          <w:szCs w:val="24"/>
        </w:rPr>
        <w:t>as a Big Data Lake, that is a reference point for developing future applications</w:t>
      </w:r>
      <w:r w:rsidR="00AC0B8C" w:rsidRPr="00AC0B8C">
        <w:rPr>
          <w:rFonts w:asciiTheme="minorHAnsi" w:hAnsiTheme="minorHAnsi" w:cs="Arial"/>
          <w:b/>
          <w:color w:val="767171" w:themeColor="background2" w:themeShade="80"/>
          <w:szCs w:val="24"/>
        </w:rPr>
        <w:t xml:space="preserve"> (costs: 30k USD; M1-M4)</w:t>
      </w:r>
      <w:r w:rsidR="009A58AA" w:rsidRPr="00AC0B8C">
        <w:rPr>
          <w:rFonts w:asciiTheme="minorHAnsi" w:hAnsiTheme="minorHAnsi" w:cs="Arial"/>
          <w:color w:val="767171" w:themeColor="background2" w:themeShade="80"/>
          <w:szCs w:val="24"/>
        </w:rPr>
        <w:t>.</w:t>
      </w:r>
      <w:r w:rsidR="00AC0B8C" w:rsidRPr="00AC0B8C">
        <w:rPr>
          <w:rFonts w:asciiTheme="minorHAnsi" w:hAnsiTheme="minorHAnsi" w:cs="Arial"/>
          <w:color w:val="767171" w:themeColor="background2" w:themeShade="80"/>
          <w:szCs w:val="24"/>
        </w:rPr>
        <w:t xml:space="preserve"> </w:t>
      </w:r>
      <w:r w:rsidR="00AC0B8C">
        <w:rPr>
          <w:rFonts w:asciiTheme="minorHAnsi" w:hAnsiTheme="minorHAnsi" w:cs="Arial"/>
          <w:color w:val="767171" w:themeColor="background2" w:themeShade="80"/>
          <w:szCs w:val="24"/>
        </w:rPr>
        <w:t xml:space="preserve">This Big Data Lake </w:t>
      </w:r>
      <w:r w:rsidR="00AC0B8C">
        <w:rPr>
          <w:rFonts w:asciiTheme="minorHAnsi" w:hAnsiTheme="minorHAnsi" w:cs="Arial"/>
          <w:color w:val="767171" w:themeColor="background2" w:themeShade="80"/>
          <w:szCs w:val="24"/>
        </w:rPr>
        <w:lastRenderedPageBreak/>
        <w:t>entails: 1.) the dev</w:t>
      </w:r>
      <w:r w:rsidR="00AC0B8C" w:rsidRPr="00AC0B8C">
        <w:rPr>
          <w:rFonts w:asciiTheme="minorHAnsi" w:hAnsiTheme="minorHAnsi" w:cs="Arial"/>
          <w:bCs/>
          <w:color w:val="767171" w:themeColor="background2" w:themeShade="80"/>
          <w:szCs w:val="24"/>
        </w:rPr>
        <w:t>elop</w:t>
      </w:r>
      <w:r w:rsidR="00AC0B8C">
        <w:rPr>
          <w:rFonts w:asciiTheme="minorHAnsi" w:hAnsiTheme="minorHAnsi" w:cs="Arial"/>
          <w:bCs/>
          <w:color w:val="767171" w:themeColor="background2" w:themeShade="80"/>
          <w:szCs w:val="24"/>
        </w:rPr>
        <w:t>ment</w:t>
      </w:r>
      <w:r w:rsidR="00AC0B8C" w:rsidRPr="00AC0B8C">
        <w:rPr>
          <w:rFonts w:asciiTheme="minorHAnsi" w:hAnsiTheme="minorHAnsi" w:cs="Arial"/>
          <w:bCs/>
          <w:color w:val="767171" w:themeColor="background2" w:themeShade="80"/>
          <w:szCs w:val="24"/>
        </w:rPr>
        <w:t xml:space="preserve"> a spatial framework that combines farming-system</w:t>
      </w:r>
      <w:r w:rsidR="00AC0B8C">
        <w:rPr>
          <w:rFonts w:asciiTheme="minorHAnsi" w:hAnsiTheme="minorHAnsi" w:cs="Arial"/>
          <w:bCs/>
          <w:color w:val="767171" w:themeColor="background2" w:themeShade="80"/>
          <w:szCs w:val="24"/>
        </w:rPr>
        <w:t xml:space="preserve"> &amp;</w:t>
      </w:r>
      <w:r w:rsidR="00AC0B8C" w:rsidRPr="00AC0B8C">
        <w:rPr>
          <w:rFonts w:asciiTheme="minorHAnsi" w:hAnsiTheme="minorHAnsi" w:cs="Arial"/>
          <w:bCs/>
          <w:color w:val="767171" w:themeColor="background2" w:themeShade="80"/>
          <w:szCs w:val="24"/>
        </w:rPr>
        <w:t xml:space="preserve"> biophysical (e.g., climate, soil, field sizes</w:t>
      </w:r>
      <w:r w:rsidR="00AC0B8C">
        <w:rPr>
          <w:rFonts w:asciiTheme="minorHAnsi" w:hAnsiTheme="minorHAnsi" w:cs="Arial"/>
          <w:bCs/>
          <w:color w:val="767171" w:themeColor="background2" w:themeShade="80"/>
          <w:szCs w:val="24"/>
        </w:rPr>
        <w:t>)</w:t>
      </w:r>
      <w:r w:rsidR="00AC0B8C" w:rsidRPr="00AC0B8C">
        <w:rPr>
          <w:rFonts w:asciiTheme="minorHAnsi" w:hAnsiTheme="minorHAnsi" w:cs="Arial"/>
          <w:bCs/>
          <w:color w:val="767171" w:themeColor="background2" w:themeShade="80"/>
          <w:szCs w:val="24"/>
        </w:rPr>
        <w:t xml:space="preserve"> and socio-economic (e.g. population density, distance to markets, per capita income, hunger, nutritional status, etc.) factors;</w:t>
      </w:r>
      <w:r w:rsidR="00AC0B8C">
        <w:rPr>
          <w:rFonts w:asciiTheme="minorHAnsi" w:hAnsiTheme="minorHAnsi" w:cs="Arial"/>
          <w:bCs/>
          <w:color w:val="767171" w:themeColor="background2" w:themeShade="80"/>
          <w:szCs w:val="24"/>
        </w:rPr>
        <w:t xml:space="preserve"> 2.) </w:t>
      </w:r>
      <w:r w:rsidR="00AC0B8C">
        <w:rPr>
          <w:rFonts w:asciiTheme="minorHAnsi" w:hAnsiTheme="minorHAnsi" w:cs="Arial"/>
          <w:color w:val="767171" w:themeColor="background2" w:themeShade="80"/>
          <w:szCs w:val="24"/>
        </w:rPr>
        <w:t xml:space="preserve">Extract, Transform &amp; Load data from data from IFPRI Global Hunger Index, IDS Hunger and Nutrition Commitment Index (HANCI), Economist Food Systems Indicator, YieldGap.org (with data &amp; involvement of ICRISAT and CIMMYT), </w:t>
      </w:r>
      <w:proofErr w:type="spellStart"/>
      <w:r w:rsidR="00AC0B8C">
        <w:rPr>
          <w:rFonts w:asciiTheme="minorHAnsi" w:hAnsiTheme="minorHAnsi" w:cs="Arial"/>
          <w:color w:val="767171" w:themeColor="background2" w:themeShade="80"/>
          <w:szCs w:val="24"/>
        </w:rPr>
        <w:t>OpenAgFunding</w:t>
      </w:r>
      <w:proofErr w:type="spellEnd"/>
      <w:r w:rsidR="00AC0B8C">
        <w:rPr>
          <w:rFonts w:asciiTheme="minorHAnsi" w:hAnsiTheme="minorHAnsi" w:cs="Arial"/>
          <w:color w:val="767171" w:themeColor="background2" w:themeShade="80"/>
          <w:szCs w:val="24"/>
        </w:rPr>
        <w:t xml:space="preserve"> initiative, ISRIC’s </w:t>
      </w:r>
      <w:proofErr w:type="spellStart"/>
      <w:r w:rsidR="00AC0B8C">
        <w:rPr>
          <w:rFonts w:asciiTheme="minorHAnsi" w:hAnsiTheme="minorHAnsi" w:cs="Arial"/>
          <w:color w:val="767171" w:themeColor="background2" w:themeShade="80"/>
          <w:szCs w:val="24"/>
        </w:rPr>
        <w:t>SoilGrids</w:t>
      </w:r>
      <w:proofErr w:type="spellEnd"/>
      <w:r w:rsidR="00AC0B8C">
        <w:rPr>
          <w:rFonts w:asciiTheme="minorHAnsi" w:hAnsiTheme="minorHAnsi" w:cs="Arial"/>
          <w:color w:val="767171" w:themeColor="background2" w:themeShade="80"/>
          <w:szCs w:val="24"/>
        </w:rPr>
        <w:t xml:space="preserve"> (Organic Matter, non-response soils) and additional maps (</w:t>
      </w:r>
      <w:r w:rsidR="00AC0B8C" w:rsidRPr="001D5F7E">
        <w:rPr>
          <w:rFonts w:asciiTheme="minorHAnsi" w:hAnsiTheme="minorHAnsi" w:cs="Arial"/>
          <w:color w:val="767171" w:themeColor="background2" w:themeShade="80"/>
          <w:szCs w:val="24"/>
        </w:rPr>
        <w:t>population density, distance to markets, per capita inc</w:t>
      </w:r>
      <w:r w:rsidR="00AC0B8C">
        <w:rPr>
          <w:rFonts w:asciiTheme="minorHAnsi" w:hAnsiTheme="minorHAnsi" w:cs="Arial"/>
          <w:color w:val="767171" w:themeColor="background2" w:themeShade="80"/>
          <w:szCs w:val="24"/>
        </w:rPr>
        <w:t>ome, hunger, nutritional status), scaling data to the spatial framework and covering all steps in Figure 1 from inputs to impacts; 3.) Installation of th</w:t>
      </w:r>
      <w:r w:rsidR="00AC0B8C" w:rsidRPr="000E2B08">
        <w:rPr>
          <w:rFonts w:asciiTheme="minorHAnsi" w:hAnsiTheme="minorHAnsi" w:cs="Arial"/>
          <w:color w:val="767171" w:themeColor="background2" w:themeShade="80"/>
          <w:szCs w:val="24"/>
        </w:rPr>
        <w:t xml:space="preserve">e Big Data </w:t>
      </w:r>
      <w:r w:rsidR="00AC0B8C">
        <w:rPr>
          <w:rFonts w:asciiTheme="minorHAnsi" w:hAnsiTheme="minorHAnsi" w:cs="Arial"/>
          <w:color w:val="767171" w:themeColor="background2" w:themeShade="80"/>
          <w:szCs w:val="24"/>
        </w:rPr>
        <w:t>Lake as an open data resource</w:t>
      </w:r>
      <w:r w:rsidR="00AC0B8C" w:rsidRPr="000E2B08">
        <w:rPr>
          <w:rFonts w:asciiTheme="minorHAnsi" w:hAnsiTheme="minorHAnsi" w:cs="Arial"/>
          <w:color w:val="767171" w:themeColor="background2" w:themeShade="80"/>
          <w:szCs w:val="24"/>
        </w:rPr>
        <w:t xml:space="preserve"> on Wageningen UR’s Spark/Hadoop cluster and install relevant analysis and </w:t>
      </w:r>
      <w:proofErr w:type="spellStart"/>
      <w:r w:rsidR="00AC0B8C" w:rsidRPr="000E2B08">
        <w:rPr>
          <w:rFonts w:asciiTheme="minorHAnsi" w:hAnsiTheme="minorHAnsi" w:cs="Arial"/>
          <w:color w:val="767171" w:themeColor="background2" w:themeShade="80"/>
          <w:szCs w:val="24"/>
        </w:rPr>
        <w:t>visualisation</w:t>
      </w:r>
      <w:proofErr w:type="spellEnd"/>
      <w:r w:rsidR="00AC0B8C" w:rsidRPr="000E2B08">
        <w:rPr>
          <w:rFonts w:asciiTheme="minorHAnsi" w:hAnsiTheme="minorHAnsi" w:cs="Arial"/>
          <w:color w:val="767171" w:themeColor="background2" w:themeShade="80"/>
          <w:szCs w:val="24"/>
        </w:rPr>
        <w:t xml:space="preserve"> tools, using Open Source components when possible. The majority of the Big Spatial Data will be handled as raster data for high performance processing. Vector data will be added for filtering, selecting an</w:t>
      </w:r>
      <w:r w:rsidR="00AC0B8C">
        <w:rPr>
          <w:rFonts w:asciiTheme="minorHAnsi" w:hAnsiTheme="minorHAnsi" w:cs="Arial"/>
          <w:color w:val="767171" w:themeColor="background2" w:themeShade="80"/>
          <w:szCs w:val="24"/>
        </w:rPr>
        <w:t>d</w:t>
      </w:r>
      <w:r w:rsidR="00AC0B8C" w:rsidRPr="000E2B08">
        <w:rPr>
          <w:rFonts w:asciiTheme="minorHAnsi" w:hAnsiTheme="minorHAnsi" w:cs="Arial"/>
          <w:color w:val="767171" w:themeColor="background2" w:themeShade="80"/>
          <w:szCs w:val="24"/>
        </w:rPr>
        <w:t xml:space="preserve"> </w:t>
      </w:r>
      <w:proofErr w:type="spellStart"/>
      <w:r w:rsidR="00AC0B8C" w:rsidRPr="000E2B08">
        <w:rPr>
          <w:rFonts w:asciiTheme="minorHAnsi" w:hAnsiTheme="minorHAnsi" w:cs="Arial"/>
          <w:color w:val="767171" w:themeColor="background2" w:themeShade="80"/>
          <w:szCs w:val="24"/>
        </w:rPr>
        <w:t>visualisation</w:t>
      </w:r>
      <w:proofErr w:type="spellEnd"/>
      <w:r w:rsidR="00AC0B8C" w:rsidRPr="000E2B08">
        <w:rPr>
          <w:rFonts w:asciiTheme="minorHAnsi" w:hAnsiTheme="minorHAnsi" w:cs="Arial"/>
          <w:color w:val="767171" w:themeColor="background2" w:themeShade="80"/>
          <w:szCs w:val="24"/>
        </w:rPr>
        <w:t xml:space="preserve"> purposes. A distributed NoSQL database</w:t>
      </w:r>
      <w:r w:rsidR="00AC0B8C">
        <w:rPr>
          <w:rFonts w:asciiTheme="minorHAnsi" w:hAnsiTheme="minorHAnsi" w:cs="Arial"/>
          <w:color w:val="767171" w:themeColor="background2" w:themeShade="80"/>
          <w:szCs w:val="24"/>
        </w:rPr>
        <w:t xml:space="preserve"> (e.g. </w:t>
      </w:r>
      <w:r w:rsidR="00AC0B8C" w:rsidRPr="000E2B08">
        <w:rPr>
          <w:rFonts w:asciiTheme="minorHAnsi" w:hAnsiTheme="minorHAnsi" w:cs="Arial"/>
          <w:color w:val="767171" w:themeColor="background2" w:themeShade="80"/>
          <w:szCs w:val="24"/>
        </w:rPr>
        <w:t xml:space="preserve">Apache </w:t>
      </w:r>
      <w:proofErr w:type="spellStart"/>
      <w:r w:rsidR="00AC0B8C" w:rsidRPr="000E2B08">
        <w:rPr>
          <w:rFonts w:asciiTheme="minorHAnsi" w:hAnsiTheme="minorHAnsi" w:cs="Arial"/>
          <w:color w:val="767171" w:themeColor="background2" w:themeShade="80"/>
          <w:szCs w:val="24"/>
        </w:rPr>
        <w:t>Accumulo</w:t>
      </w:r>
      <w:proofErr w:type="spellEnd"/>
      <w:r w:rsidR="00AC0B8C">
        <w:rPr>
          <w:rFonts w:asciiTheme="minorHAnsi" w:hAnsiTheme="minorHAnsi" w:cs="Arial"/>
          <w:color w:val="767171" w:themeColor="background2" w:themeShade="80"/>
          <w:szCs w:val="24"/>
        </w:rPr>
        <w:t>)</w:t>
      </w:r>
      <w:r w:rsidR="00AC0B8C" w:rsidRPr="000E2B08">
        <w:rPr>
          <w:rFonts w:asciiTheme="minorHAnsi" w:hAnsiTheme="minorHAnsi" w:cs="Arial"/>
          <w:color w:val="767171" w:themeColor="background2" w:themeShade="80"/>
          <w:szCs w:val="24"/>
        </w:rPr>
        <w:t xml:space="preserve"> will be </w:t>
      </w:r>
      <w:r w:rsidR="00AC0B8C">
        <w:rPr>
          <w:rFonts w:asciiTheme="minorHAnsi" w:hAnsiTheme="minorHAnsi" w:cs="Arial"/>
          <w:color w:val="767171" w:themeColor="background2" w:themeShade="80"/>
          <w:szCs w:val="24"/>
        </w:rPr>
        <w:t>used to handle storage of the data</w:t>
      </w:r>
      <w:r w:rsidR="00AC0B8C" w:rsidRPr="000E2B08">
        <w:rPr>
          <w:rFonts w:asciiTheme="minorHAnsi" w:hAnsiTheme="minorHAnsi" w:cs="Arial"/>
          <w:color w:val="767171" w:themeColor="background2" w:themeShade="80"/>
          <w:szCs w:val="24"/>
        </w:rPr>
        <w:t xml:space="preserve">. A parallel data processing layer will be added based on </w:t>
      </w:r>
      <w:proofErr w:type="spellStart"/>
      <w:r w:rsidR="00AC0B8C" w:rsidRPr="000E2B08">
        <w:rPr>
          <w:rFonts w:asciiTheme="minorHAnsi" w:hAnsiTheme="minorHAnsi" w:cs="Arial"/>
          <w:color w:val="767171" w:themeColor="background2" w:themeShade="80"/>
          <w:szCs w:val="24"/>
        </w:rPr>
        <w:t>GeoMesa</w:t>
      </w:r>
      <w:proofErr w:type="spellEnd"/>
      <w:r w:rsidR="00AC0B8C" w:rsidRPr="000E2B08">
        <w:rPr>
          <w:rFonts w:asciiTheme="minorHAnsi" w:hAnsiTheme="minorHAnsi" w:cs="Arial"/>
          <w:color w:val="767171" w:themeColor="background2" w:themeShade="80"/>
          <w:szCs w:val="24"/>
        </w:rPr>
        <w:t xml:space="preserve"> and </w:t>
      </w:r>
      <w:proofErr w:type="spellStart"/>
      <w:r w:rsidR="00AC0B8C" w:rsidRPr="000E2B08">
        <w:rPr>
          <w:rFonts w:asciiTheme="minorHAnsi" w:hAnsiTheme="minorHAnsi" w:cs="Arial"/>
          <w:color w:val="767171" w:themeColor="background2" w:themeShade="80"/>
          <w:szCs w:val="24"/>
        </w:rPr>
        <w:t>Geotrellis</w:t>
      </w:r>
      <w:proofErr w:type="spellEnd"/>
      <w:r w:rsidR="00AC0B8C" w:rsidRPr="000E2B08">
        <w:rPr>
          <w:rFonts w:asciiTheme="minorHAnsi" w:hAnsiTheme="minorHAnsi" w:cs="Arial"/>
          <w:color w:val="767171" w:themeColor="background2" w:themeShade="80"/>
          <w:szCs w:val="24"/>
        </w:rPr>
        <w:t xml:space="preserve">, using Scala and Java programming languages. The data, and the (spatial) analysis functionality will be made available through a Notebook Hub, e.g. Apache Zeppelin for explorative analysis, Machine Learning, and data </w:t>
      </w:r>
      <w:proofErr w:type="spellStart"/>
      <w:r w:rsidR="00AC0B8C" w:rsidRPr="000E2B08">
        <w:rPr>
          <w:rFonts w:asciiTheme="minorHAnsi" w:hAnsiTheme="minorHAnsi" w:cs="Arial"/>
          <w:color w:val="767171" w:themeColor="background2" w:themeShade="80"/>
          <w:szCs w:val="24"/>
        </w:rPr>
        <w:t>visualisation</w:t>
      </w:r>
      <w:proofErr w:type="spellEnd"/>
      <w:r w:rsidR="00AC0B8C" w:rsidRPr="000E2B08">
        <w:rPr>
          <w:rFonts w:asciiTheme="minorHAnsi" w:hAnsiTheme="minorHAnsi" w:cs="Arial"/>
          <w:color w:val="767171" w:themeColor="background2" w:themeShade="80"/>
          <w:szCs w:val="24"/>
        </w:rPr>
        <w:t xml:space="preserve"> in e.g. Spark/Scala, Python and R, and for creating repeatable and sharable workflows.</w:t>
      </w:r>
      <w:r w:rsidR="009A58AA">
        <w:rPr>
          <w:rFonts w:asciiTheme="minorHAnsi" w:hAnsiTheme="minorHAnsi" w:cs="Arial"/>
          <w:color w:val="767171" w:themeColor="background2" w:themeShade="80"/>
          <w:szCs w:val="24"/>
        </w:rPr>
        <w:t xml:space="preserve"> </w:t>
      </w:r>
      <w:r w:rsidR="00194ADF">
        <w:rPr>
          <w:rFonts w:asciiTheme="minorHAnsi" w:hAnsiTheme="minorHAnsi" w:cs="Arial"/>
          <w:color w:val="767171" w:themeColor="background2" w:themeShade="80"/>
          <w:szCs w:val="24"/>
        </w:rPr>
        <w:t>This Big Data Lake is a crucial innovation, as it can also be used for other use cases unrelated to impact assessment, and spurs the creativity of researchers and innovators.</w:t>
      </w:r>
    </w:p>
    <w:p w14:paraId="1EF39971" w14:textId="4B29AEF2" w:rsidR="00AC0B8C" w:rsidRDefault="002F3EE2" w:rsidP="0082230A">
      <w:pPr>
        <w:autoSpaceDE w:val="0"/>
        <w:autoSpaceDN w:val="0"/>
        <w:adjustRightInd w:val="0"/>
        <w:spacing w:beforeLines="50" w:before="120"/>
        <w:rPr>
          <w:rFonts w:asciiTheme="minorHAnsi" w:hAnsiTheme="minorHAnsi" w:cs="Arial"/>
          <w:color w:val="767171" w:themeColor="background2" w:themeShade="80"/>
          <w:szCs w:val="24"/>
        </w:rPr>
      </w:pPr>
      <w:r w:rsidRPr="00AC0B8C">
        <w:rPr>
          <w:rFonts w:asciiTheme="minorHAnsi" w:hAnsiTheme="minorHAnsi" w:cs="Arial"/>
          <w:color w:val="767171" w:themeColor="background2" w:themeShade="80"/>
          <w:szCs w:val="24"/>
        </w:rPr>
        <w:t>Second,</w:t>
      </w:r>
      <w:r w:rsidR="00AC0B8C" w:rsidRPr="00AC0B8C">
        <w:rPr>
          <w:rFonts w:asciiTheme="minorHAnsi" w:hAnsiTheme="minorHAnsi" w:cs="Arial"/>
          <w:color w:val="767171" w:themeColor="background2" w:themeShade="80"/>
          <w:szCs w:val="24"/>
        </w:rPr>
        <w:t xml:space="preserve"> </w:t>
      </w:r>
      <w:r w:rsidR="00AC0B8C" w:rsidRPr="00AC0B8C">
        <w:rPr>
          <w:rFonts w:asciiTheme="minorHAnsi" w:hAnsiTheme="minorHAnsi" w:cs="Arial"/>
          <w:b/>
          <w:color w:val="767171" w:themeColor="background2" w:themeShade="80"/>
          <w:szCs w:val="24"/>
        </w:rPr>
        <w:t>Big Data Analytics (30k USD; M3-M7) will be deployed</w:t>
      </w:r>
      <w:r w:rsidR="00AC0B8C">
        <w:rPr>
          <w:rFonts w:asciiTheme="minorHAnsi" w:hAnsiTheme="minorHAnsi" w:cs="Arial"/>
          <w:color w:val="767171" w:themeColor="background2" w:themeShade="80"/>
          <w:szCs w:val="24"/>
        </w:rPr>
        <w:t xml:space="preserve"> for the development of open source </w:t>
      </w:r>
      <w:r>
        <w:rPr>
          <w:rFonts w:asciiTheme="minorHAnsi" w:hAnsiTheme="minorHAnsi" w:cs="Arial"/>
          <w:color w:val="767171" w:themeColor="background2" w:themeShade="80"/>
          <w:szCs w:val="24"/>
        </w:rPr>
        <w:t xml:space="preserve">algorithms </w:t>
      </w:r>
      <w:r w:rsidR="00B26FC2">
        <w:rPr>
          <w:rFonts w:asciiTheme="minorHAnsi" w:hAnsiTheme="minorHAnsi" w:cs="Arial"/>
          <w:color w:val="767171" w:themeColor="background2" w:themeShade="80"/>
          <w:szCs w:val="24"/>
        </w:rPr>
        <w:t xml:space="preserve">(random forest, PCA, ...; made available through Wageningen UR’s </w:t>
      </w:r>
      <w:proofErr w:type="spellStart"/>
      <w:r w:rsidR="00B26FC2">
        <w:rPr>
          <w:rFonts w:asciiTheme="minorHAnsi" w:hAnsiTheme="minorHAnsi" w:cs="Arial"/>
          <w:color w:val="767171" w:themeColor="background2" w:themeShade="80"/>
          <w:szCs w:val="24"/>
        </w:rPr>
        <w:t>GitLab</w:t>
      </w:r>
      <w:proofErr w:type="spellEnd"/>
      <w:r w:rsidR="00B26FC2">
        <w:rPr>
          <w:rFonts w:asciiTheme="minorHAnsi" w:hAnsiTheme="minorHAnsi" w:cs="Arial"/>
          <w:color w:val="767171" w:themeColor="background2" w:themeShade="80"/>
          <w:szCs w:val="24"/>
        </w:rPr>
        <w:t>)</w:t>
      </w:r>
      <w:r>
        <w:rPr>
          <w:rFonts w:asciiTheme="minorHAnsi" w:hAnsiTheme="minorHAnsi" w:cs="Arial"/>
          <w:color w:val="767171" w:themeColor="background2" w:themeShade="80"/>
          <w:szCs w:val="24"/>
        </w:rPr>
        <w:t xml:space="preserve"> to identify unexpected relationships</w:t>
      </w:r>
      <w:r w:rsidR="00AC0B8C">
        <w:rPr>
          <w:rFonts w:asciiTheme="minorHAnsi" w:hAnsiTheme="minorHAnsi" w:cs="Arial"/>
          <w:color w:val="767171" w:themeColor="background2" w:themeShade="80"/>
          <w:szCs w:val="24"/>
        </w:rPr>
        <w:t>/correlations (</w:t>
      </w:r>
      <w:r w:rsidR="00627D06">
        <w:rPr>
          <w:rFonts w:asciiTheme="minorHAnsi" w:hAnsiTheme="minorHAnsi" w:cs="Arial"/>
          <w:color w:val="767171" w:themeColor="background2" w:themeShade="80"/>
          <w:szCs w:val="24"/>
        </w:rPr>
        <w:t>either surprising or infeasible)</w:t>
      </w:r>
      <w:r>
        <w:rPr>
          <w:rFonts w:asciiTheme="minorHAnsi" w:hAnsiTheme="minorHAnsi" w:cs="Arial"/>
          <w:color w:val="767171" w:themeColor="background2" w:themeShade="80"/>
          <w:szCs w:val="24"/>
        </w:rPr>
        <w:t>, and driving variables for explaining</w:t>
      </w:r>
      <w:r w:rsidR="00194ADF">
        <w:rPr>
          <w:rFonts w:asciiTheme="minorHAnsi" w:hAnsiTheme="minorHAnsi" w:cs="Arial"/>
          <w:color w:val="767171" w:themeColor="background2" w:themeShade="80"/>
          <w:szCs w:val="24"/>
        </w:rPr>
        <w:t xml:space="preserve"> development in desired end-impacts and</w:t>
      </w:r>
      <w:r>
        <w:rPr>
          <w:rFonts w:asciiTheme="minorHAnsi" w:hAnsiTheme="minorHAnsi" w:cs="Arial"/>
          <w:color w:val="767171" w:themeColor="background2" w:themeShade="80"/>
          <w:szCs w:val="24"/>
        </w:rPr>
        <w:t xml:space="preserve"> productivity gaps as captured in YieldGap.org</w:t>
      </w:r>
      <w:r w:rsidR="002F7644">
        <w:rPr>
          <w:rFonts w:asciiTheme="minorHAnsi" w:hAnsiTheme="minorHAnsi" w:cs="Arial"/>
          <w:color w:val="767171" w:themeColor="background2" w:themeShade="80"/>
          <w:szCs w:val="24"/>
        </w:rPr>
        <w:t>, validated through agronomic knowledge of WUR/CIMMYT</w:t>
      </w:r>
      <w:r>
        <w:rPr>
          <w:rFonts w:asciiTheme="minorHAnsi" w:hAnsiTheme="minorHAnsi" w:cs="Arial"/>
          <w:color w:val="767171" w:themeColor="background2" w:themeShade="80"/>
          <w:szCs w:val="24"/>
        </w:rPr>
        <w:t xml:space="preserve">. </w:t>
      </w:r>
      <w:r w:rsidR="00AC0B8C">
        <w:rPr>
          <w:rFonts w:asciiTheme="minorHAnsi" w:hAnsiTheme="minorHAnsi" w:cs="Arial"/>
          <w:color w:val="767171" w:themeColor="background2" w:themeShade="80"/>
          <w:szCs w:val="24"/>
        </w:rPr>
        <w:t>Also, one i</w:t>
      </w:r>
      <w:r w:rsidR="00AC0B8C">
        <w:rPr>
          <w:rFonts w:asciiTheme="minorHAnsi" w:hAnsiTheme="minorHAnsi" w:cs="Arial"/>
          <w:bCs/>
          <w:color w:val="767171" w:themeColor="background2" w:themeShade="80"/>
          <w:szCs w:val="24"/>
        </w:rPr>
        <w:t>n-situ validation exercise for one country to study the development of nutrition status, gender equality as end-impacts and intermediate outcomes (such as Yield Gaps) and inputs (i.e. donor investment) over the past decades, as a learning analysis for large scale analysis</w:t>
      </w:r>
    </w:p>
    <w:p w14:paraId="65F642AC" w14:textId="325EEAFE" w:rsidR="002F3EE2" w:rsidRDefault="00AC0B8C" w:rsidP="00AC0B8C">
      <w:pPr>
        <w:autoSpaceDE w:val="0"/>
        <w:autoSpaceDN w:val="0"/>
        <w:adjustRightInd w:val="0"/>
        <w:spacing w:beforeLines="50" w:before="120"/>
        <w:rPr>
          <w:rFonts w:asciiTheme="minorHAnsi" w:hAnsiTheme="minorHAnsi" w:cs="Arial"/>
          <w:bCs/>
          <w:color w:val="767171" w:themeColor="background2" w:themeShade="80"/>
          <w:szCs w:val="24"/>
        </w:rPr>
      </w:pPr>
      <w:r w:rsidRPr="00AC0B8C">
        <w:rPr>
          <w:rFonts w:asciiTheme="minorHAnsi" w:hAnsiTheme="minorHAnsi" w:cs="Arial"/>
          <w:color w:val="767171" w:themeColor="background2" w:themeShade="80"/>
          <w:szCs w:val="24"/>
        </w:rPr>
        <w:t>I</w:t>
      </w:r>
      <w:r w:rsidR="002F3EE2" w:rsidRPr="00AC0B8C">
        <w:rPr>
          <w:rFonts w:asciiTheme="minorHAnsi" w:hAnsiTheme="minorHAnsi" w:cs="Arial"/>
          <w:color w:val="767171" w:themeColor="background2" w:themeShade="80"/>
          <w:szCs w:val="24"/>
        </w:rPr>
        <w:t xml:space="preserve">n a third step </w:t>
      </w:r>
      <w:r w:rsidRPr="00AC0B8C">
        <w:rPr>
          <w:rFonts w:asciiTheme="minorHAnsi" w:hAnsiTheme="minorHAnsi" w:cs="Arial"/>
          <w:color w:val="767171" w:themeColor="background2" w:themeShade="80"/>
          <w:szCs w:val="24"/>
        </w:rPr>
        <w:t xml:space="preserve">an </w:t>
      </w:r>
      <w:proofErr w:type="spellStart"/>
      <w:r w:rsidRPr="00AC0B8C">
        <w:rPr>
          <w:rFonts w:asciiTheme="minorHAnsi" w:hAnsiTheme="minorHAnsi" w:cs="Arial"/>
          <w:b/>
          <w:color w:val="767171" w:themeColor="background2" w:themeShade="80"/>
          <w:szCs w:val="24"/>
        </w:rPr>
        <w:t>ImpactInvestment</w:t>
      </w:r>
      <w:proofErr w:type="spellEnd"/>
      <w:r w:rsidRPr="00AC0B8C">
        <w:rPr>
          <w:rFonts w:asciiTheme="minorHAnsi" w:hAnsiTheme="minorHAnsi" w:cs="Arial"/>
          <w:b/>
          <w:color w:val="767171" w:themeColor="background2" w:themeShade="80"/>
          <w:szCs w:val="24"/>
        </w:rPr>
        <w:t xml:space="preserve"> Visualization tool (costs: 30k USD; M7-M9)</w:t>
      </w:r>
      <w:r w:rsidRPr="00AC0B8C">
        <w:rPr>
          <w:rFonts w:asciiTheme="minorHAnsi" w:hAnsiTheme="minorHAnsi" w:cs="Arial"/>
          <w:color w:val="767171" w:themeColor="background2" w:themeShade="80"/>
          <w:szCs w:val="24"/>
        </w:rPr>
        <w:t xml:space="preserve">is developed, </w:t>
      </w:r>
      <w:r w:rsidR="002F3EE2" w:rsidRPr="00AC0B8C">
        <w:rPr>
          <w:rFonts w:asciiTheme="minorHAnsi" w:hAnsiTheme="minorHAnsi" w:cs="Arial"/>
          <w:color w:val="767171" w:themeColor="background2" w:themeShade="80"/>
          <w:szCs w:val="24"/>
        </w:rPr>
        <w:t xml:space="preserve">a prototype visualization tool will be developed to show the impact of donor investments on productivity gaps </w:t>
      </w:r>
      <w:r>
        <w:rPr>
          <w:rFonts w:asciiTheme="minorHAnsi" w:hAnsiTheme="minorHAnsi" w:cs="Arial"/>
          <w:color w:val="767171" w:themeColor="background2" w:themeShade="80"/>
          <w:szCs w:val="24"/>
        </w:rPr>
        <w:t xml:space="preserve">and end-impacts (hunger, </w:t>
      </w:r>
      <w:proofErr w:type="spellStart"/>
      <w:r>
        <w:rPr>
          <w:rFonts w:asciiTheme="minorHAnsi" w:hAnsiTheme="minorHAnsi" w:cs="Arial"/>
          <w:color w:val="767171" w:themeColor="background2" w:themeShade="80"/>
          <w:szCs w:val="24"/>
        </w:rPr>
        <w:t>etc</w:t>
      </w:r>
      <w:proofErr w:type="spellEnd"/>
      <w:r>
        <w:rPr>
          <w:rFonts w:asciiTheme="minorHAnsi" w:hAnsiTheme="minorHAnsi" w:cs="Arial"/>
          <w:color w:val="767171" w:themeColor="background2" w:themeShade="80"/>
          <w:szCs w:val="24"/>
        </w:rPr>
        <w:t>)</w:t>
      </w:r>
      <w:r w:rsidR="002F3EE2" w:rsidRPr="00AC0B8C">
        <w:rPr>
          <w:rFonts w:asciiTheme="minorHAnsi" w:hAnsiTheme="minorHAnsi" w:cs="Arial"/>
          <w:color w:val="767171" w:themeColor="background2" w:themeShade="80"/>
          <w:szCs w:val="24"/>
        </w:rPr>
        <w:t>.</w:t>
      </w:r>
      <w:r w:rsidR="00627D06" w:rsidRPr="00AC0B8C">
        <w:rPr>
          <w:rFonts w:asciiTheme="minorHAnsi" w:hAnsiTheme="minorHAnsi" w:cs="Arial"/>
          <w:color w:val="767171" w:themeColor="background2" w:themeShade="80"/>
          <w:szCs w:val="24"/>
        </w:rPr>
        <w:t xml:space="preserve"> </w:t>
      </w:r>
      <w:r>
        <w:rPr>
          <w:rFonts w:asciiTheme="minorHAnsi" w:hAnsiTheme="minorHAnsi" w:cs="Arial"/>
          <w:color w:val="767171" w:themeColor="background2" w:themeShade="80"/>
          <w:szCs w:val="24"/>
        </w:rPr>
        <w:t xml:space="preserve">The </w:t>
      </w:r>
      <w:proofErr w:type="spellStart"/>
      <w:r>
        <w:rPr>
          <w:rFonts w:asciiTheme="minorHAnsi" w:hAnsiTheme="minorHAnsi" w:cs="Arial"/>
          <w:color w:val="767171" w:themeColor="background2" w:themeShade="80"/>
          <w:szCs w:val="24"/>
        </w:rPr>
        <w:t>ImpactInvestment</w:t>
      </w:r>
      <w:proofErr w:type="spellEnd"/>
      <w:r>
        <w:rPr>
          <w:rFonts w:asciiTheme="minorHAnsi" w:hAnsiTheme="minorHAnsi" w:cs="Arial"/>
          <w:color w:val="767171" w:themeColor="background2" w:themeShade="80"/>
          <w:szCs w:val="24"/>
        </w:rPr>
        <w:t xml:space="preserve"> Visualization tool is a</w:t>
      </w:r>
      <w:r w:rsidRPr="00AC0B8C">
        <w:rPr>
          <w:rFonts w:asciiTheme="minorHAnsi" w:hAnsiTheme="minorHAnsi" w:cs="Arial"/>
          <w:color w:val="767171" w:themeColor="background2" w:themeShade="80"/>
          <w:szCs w:val="24"/>
        </w:rPr>
        <w:t xml:space="preserve">s an extension/plug-in to </w:t>
      </w:r>
      <w:hyperlink r:id="rId10" w:history="1">
        <w:r w:rsidRPr="00AC0B8C">
          <w:rPr>
            <w:rStyle w:val="Hyperlink"/>
            <w:rFonts w:asciiTheme="minorHAnsi" w:hAnsiTheme="minorHAnsi" w:cs="Arial"/>
            <w:szCs w:val="24"/>
          </w:rPr>
          <w:t>www.yieldgap.org</w:t>
        </w:r>
      </w:hyperlink>
      <w:r w:rsidRPr="00AC0B8C">
        <w:rPr>
          <w:rFonts w:asciiTheme="minorHAnsi" w:hAnsiTheme="minorHAnsi" w:cs="Arial"/>
          <w:color w:val="767171" w:themeColor="background2" w:themeShade="80"/>
          <w:szCs w:val="24"/>
        </w:rPr>
        <w:t>.</w:t>
      </w:r>
      <w:r>
        <w:rPr>
          <w:rFonts w:asciiTheme="minorHAnsi" w:hAnsiTheme="minorHAnsi" w:cs="Arial"/>
          <w:color w:val="767171" w:themeColor="background2" w:themeShade="80"/>
          <w:szCs w:val="24"/>
        </w:rPr>
        <w:t xml:space="preserve"> Sample maps will be created to demonstrate the methodology and allow for communication purposes for certain user stories, and demonstrate the added value coming from big-data analytics for CIMMYT and other CGIAR institutes and CRP’s</w:t>
      </w:r>
    </w:p>
    <w:p w14:paraId="5F989968" w14:textId="24B23F03" w:rsidR="0091566D" w:rsidRPr="002F7644" w:rsidRDefault="00AC0B8C" w:rsidP="00B26FC2">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color w:val="767171" w:themeColor="background2" w:themeShade="80"/>
          <w:szCs w:val="24"/>
        </w:rPr>
        <w:t xml:space="preserve">Finally a </w:t>
      </w:r>
      <w:r w:rsidR="005D7DD2" w:rsidRPr="00AC0B8C">
        <w:rPr>
          <w:rFonts w:asciiTheme="minorHAnsi" w:hAnsiTheme="minorHAnsi" w:cs="Arial"/>
          <w:b/>
          <w:color w:val="767171" w:themeColor="background2" w:themeShade="80"/>
          <w:szCs w:val="24"/>
        </w:rPr>
        <w:t>Feasibility analysis</w:t>
      </w:r>
      <w:r w:rsidR="002C70E6" w:rsidRPr="00AC0B8C">
        <w:rPr>
          <w:rFonts w:asciiTheme="minorHAnsi" w:hAnsiTheme="minorHAnsi" w:cs="Arial"/>
          <w:b/>
          <w:color w:val="767171" w:themeColor="background2" w:themeShade="80"/>
          <w:szCs w:val="24"/>
        </w:rPr>
        <w:t xml:space="preserve"> (10k USD</w:t>
      </w:r>
      <w:r w:rsidR="002F7644" w:rsidRPr="00AC0B8C">
        <w:rPr>
          <w:rFonts w:asciiTheme="minorHAnsi" w:hAnsiTheme="minorHAnsi" w:cs="Arial"/>
          <w:b/>
          <w:color w:val="767171" w:themeColor="background2" w:themeShade="80"/>
          <w:szCs w:val="24"/>
        </w:rPr>
        <w:t>;M9-M12</w:t>
      </w:r>
      <w:r w:rsidR="002C70E6" w:rsidRPr="00AC0B8C">
        <w:rPr>
          <w:rFonts w:asciiTheme="minorHAnsi" w:hAnsiTheme="minorHAnsi" w:cs="Arial"/>
          <w:b/>
          <w:color w:val="767171" w:themeColor="background2" w:themeShade="80"/>
          <w:szCs w:val="24"/>
        </w:rPr>
        <w:t>)</w:t>
      </w:r>
      <w:r>
        <w:rPr>
          <w:rFonts w:asciiTheme="minorHAnsi" w:hAnsiTheme="minorHAnsi" w:cs="Arial"/>
          <w:color w:val="767171" w:themeColor="background2" w:themeShade="80"/>
          <w:szCs w:val="24"/>
        </w:rPr>
        <w:t xml:space="preserve"> is carried out to evaluate the strengths and weakness of the approach and to prepare for the next level of upscaling the application. </w:t>
      </w:r>
      <w:r w:rsidR="005D7DD2">
        <w:rPr>
          <w:rFonts w:asciiTheme="minorHAnsi" w:hAnsiTheme="minorHAnsi" w:cs="Arial"/>
          <w:color w:val="767171" w:themeColor="background2" w:themeShade="80"/>
          <w:szCs w:val="24"/>
        </w:rPr>
        <w:t xml:space="preserve">Through </w:t>
      </w:r>
      <w:r w:rsidR="00A25F6A">
        <w:rPr>
          <w:rFonts w:asciiTheme="minorHAnsi" w:hAnsiTheme="minorHAnsi" w:cs="Arial"/>
          <w:color w:val="767171" w:themeColor="background2" w:themeShade="80"/>
          <w:szCs w:val="24"/>
        </w:rPr>
        <w:t xml:space="preserve">5 </w:t>
      </w:r>
      <w:r w:rsidR="005D7DD2">
        <w:rPr>
          <w:rFonts w:asciiTheme="minorHAnsi" w:hAnsiTheme="minorHAnsi" w:cs="Arial"/>
          <w:color w:val="767171" w:themeColor="background2" w:themeShade="80"/>
          <w:szCs w:val="24"/>
        </w:rPr>
        <w:t>interviews and literature study of CGIAR’s IA procedures an</w:t>
      </w:r>
      <w:r w:rsidR="00A25F6A">
        <w:rPr>
          <w:rFonts w:asciiTheme="minorHAnsi" w:hAnsiTheme="minorHAnsi" w:cs="Arial"/>
          <w:color w:val="767171" w:themeColor="background2" w:themeShade="80"/>
          <w:szCs w:val="24"/>
        </w:rPr>
        <w:t xml:space="preserve"> </w:t>
      </w:r>
      <w:r w:rsidR="002F7644">
        <w:rPr>
          <w:rFonts w:asciiTheme="minorHAnsi" w:hAnsiTheme="minorHAnsi" w:cs="Arial"/>
          <w:color w:val="767171" w:themeColor="background2" w:themeShade="80"/>
          <w:szCs w:val="24"/>
        </w:rPr>
        <w:t xml:space="preserve">feasibility </w:t>
      </w:r>
      <w:r w:rsidR="0091566D">
        <w:rPr>
          <w:rFonts w:asciiTheme="minorHAnsi" w:hAnsiTheme="minorHAnsi" w:cs="Arial"/>
          <w:color w:val="767171" w:themeColor="background2" w:themeShade="80"/>
          <w:szCs w:val="24"/>
        </w:rPr>
        <w:t>analysis</w:t>
      </w:r>
      <w:r w:rsidR="00A25F6A">
        <w:rPr>
          <w:rFonts w:asciiTheme="minorHAnsi" w:hAnsiTheme="minorHAnsi" w:cs="Arial"/>
          <w:color w:val="767171" w:themeColor="background2" w:themeShade="80"/>
          <w:szCs w:val="24"/>
        </w:rPr>
        <w:t xml:space="preserve"> will be made of the potential use of suc</w:t>
      </w:r>
      <w:r w:rsidR="0091566D">
        <w:rPr>
          <w:rFonts w:asciiTheme="minorHAnsi" w:hAnsiTheme="minorHAnsi" w:cs="Arial"/>
          <w:color w:val="767171" w:themeColor="background2" w:themeShade="80"/>
          <w:szCs w:val="24"/>
        </w:rPr>
        <w:t>h technologies &amp; analytics</w:t>
      </w:r>
      <w:r>
        <w:rPr>
          <w:rFonts w:asciiTheme="minorHAnsi" w:hAnsiTheme="minorHAnsi" w:cs="Arial"/>
          <w:color w:val="767171" w:themeColor="background2" w:themeShade="80"/>
          <w:szCs w:val="24"/>
        </w:rPr>
        <w:t xml:space="preserve">. </w:t>
      </w:r>
      <w:r w:rsidR="00B26FC2">
        <w:rPr>
          <w:rFonts w:asciiTheme="minorHAnsi" w:hAnsiTheme="minorHAnsi" w:cs="Arial"/>
          <w:color w:val="767171" w:themeColor="background2" w:themeShade="80"/>
          <w:szCs w:val="24"/>
        </w:rPr>
        <w:t xml:space="preserve">Also the </w:t>
      </w:r>
      <w:proofErr w:type="spellStart"/>
      <w:r w:rsidR="00B26FC2">
        <w:rPr>
          <w:rFonts w:asciiTheme="minorHAnsi" w:hAnsiTheme="minorHAnsi" w:cs="Arial"/>
          <w:color w:val="767171" w:themeColor="background2" w:themeShade="80"/>
          <w:szCs w:val="24"/>
        </w:rPr>
        <w:t>ImpactInvestment</w:t>
      </w:r>
      <w:proofErr w:type="spellEnd"/>
      <w:r w:rsidR="00B26FC2">
        <w:rPr>
          <w:rFonts w:asciiTheme="minorHAnsi" w:hAnsiTheme="minorHAnsi" w:cs="Arial"/>
          <w:color w:val="767171" w:themeColor="background2" w:themeShade="80"/>
          <w:szCs w:val="24"/>
        </w:rPr>
        <w:t xml:space="preserve"> tool and methodology will be presented </w:t>
      </w:r>
      <w:r w:rsidR="0091566D">
        <w:rPr>
          <w:rFonts w:asciiTheme="minorHAnsi" w:hAnsiTheme="minorHAnsi" w:cs="Arial"/>
          <w:color w:val="767171" w:themeColor="background2" w:themeShade="80"/>
          <w:szCs w:val="24"/>
        </w:rPr>
        <w:t>at relevant CGIAR meeting (within a CRP)</w:t>
      </w:r>
      <w:r w:rsidR="00B26FC2">
        <w:rPr>
          <w:rFonts w:asciiTheme="minorHAnsi" w:hAnsiTheme="minorHAnsi" w:cs="Arial"/>
          <w:color w:val="767171" w:themeColor="background2" w:themeShade="80"/>
          <w:szCs w:val="24"/>
        </w:rPr>
        <w:t>. To prepare for the next phase,</w:t>
      </w:r>
      <w:r w:rsidR="0091566D">
        <w:rPr>
          <w:rFonts w:asciiTheme="minorHAnsi" w:hAnsiTheme="minorHAnsi" w:cs="Arial"/>
          <w:color w:val="767171" w:themeColor="background2" w:themeShade="80"/>
          <w:szCs w:val="24"/>
        </w:rPr>
        <w:t xml:space="preserve"> to 5 operational uses case </w:t>
      </w:r>
      <w:r w:rsidR="00731F9C">
        <w:rPr>
          <w:rFonts w:asciiTheme="minorHAnsi" w:hAnsiTheme="minorHAnsi" w:cs="Arial"/>
          <w:color w:val="767171" w:themeColor="background2" w:themeShade="80"/>
          <w:szCs w:val="24"/>
        </w:rPr>
        <w:t>across different CRP’s</w:t>
      </w:r>
      <w:r w:rsidR="002C70E6">
        <w:rPr>
          <w:rFonts w:asciiTheme="minorHAnsi" w:hAnsiTheme="minorHAnsi" w:cs="Arial"/>
          <w:color w:val="767171" w:themeColor="background2" w:themeShade="80"/>
          <w:szCs w:val="24"/>
        </w:rPr>
        <w:t xml:space="preserve"> </w:t>
      </w:r>
      <w:r w:rsidR="00B26FC2">
        <w:rPr>
          <w:rFonts w:asciiTheme="minorHAnsi" w:hAnsiTheme="minorHAnsi" w:cs="Arial"/>
          <w:color w:val="767171" w:themeColor="background2" w:themeShade="80"/>
          <w:szCs w:val="24"/>
        </w:rPr>
        <w:t xml:space="preserve">will be scoped </w:t>
      </w:r>
      <w:r w:rsidR="0091566D">
        <w:rPr>
          <w:rFonts w:asciiTheme="minorHAnsi" w:hAnsiTheme="minorHAnsi" w:cs="Arial"/>
          <w:color w:val="767171" w:themeColor="background2" w:themeShade="80"/>
          <w:szCs w:val="24"/>
        </w:rPr>
        <w:t xml:space="preserve">for the </w:t>
      </w:r>
      <w:r w:rsidR="009A58AA">
        <w:rPr>
          <w:rFonts w:asciiTheme="minorHAnsi" w:hAnsiTheme="minorHAnsi" w:cs="Arial"/>
          <w:color w:val="767171" w:themeColor="background2" w:themeShade="80"/>
          <w:szCs w:val="24"/>
        </w:rPr>
        <w:t>next phase of developments, to scale up the work in the second phase with real applications</w:t>
      </w:r>
    </w:p>
    <w:p w14:paraId="00136CF6" w14:textId="77777777" w:rsidR="00194ADF" w:rsidRPr="00194ADF" w:rsidRDefault="00194ADF" w:rsidP="00194ADF">
      <w:pPr>
        <w:autoSpaceDE w:val="0"/>
        <w:autoSpaceDN w:val="0"/>
        <w:adjustRightInd w:val="0"/>
        <w:spacing w:beforeLines="50" w:before="120"/>
        <w:rPr>
          <w:rFonts w:asciiTheme="minorHAnsi" w:hAnsiTheme="minorHAnsi" w:cs="Arial"/>
          <w:b/>
          <w:bCs/>
          <w:color w:val="767171" w:themeColor="background2" w:themeShade="80"/>
          <w:szCs w:val="24"/>
          <w:u w:val="single"/>
        </w:rPr>
      </w:pPr>
      <w:r w:rsidRPr="00194ADF">
        <w:rPr>
          <w:rFonts w:asciiTheme="minorHAnsi" w:hAnsiTheme="minorHAnsi" w:cs="Arial"/>
          <w:b/>
          <w:bCs/>
          <w:color w:val="767171" w:themeColor="background2" w:themeShade="80"/>
          <w:szCs w:val="24"/>
          <w:u w:val="single"/>
        </w:rPr>
        <w:lastRenderedPageBreak/>
        <w:t>Appendix 1: Additional materials</w:t>
      </w:r>
    </w:p>
    <w:p w14:paraId="729CBE9E" w14:textId="52D056AE" w:rsidR="002F7644" w:rsidRDefault="002346D3" w:rsidP="002F7644">
      <w:pPr>
        <w:autoSpaceDE w:val="0"/>
        <w:autoSpaceDN w:val="0"/>
        <w:adjustRightInd w:val="0"/>
        <w:spacing w:beforeLines="50" w:before="120"/>
        <w:rPr>
          <w:rFonts w:asciiTheme="minorHAnsi" w:hAnsiTheme="minorHAnsi" w:cs="Arial"/>
          <w:bCs/>
          <w:color w:val="767171" w:themeColor="background2" w:themeShade="80"/>
          <w:szCs w:val="24"/>
        </w:rPr>
      </w:pPr>
      <w:r w:rsidRPr="00194ADF">
        <w:rPr>
          <w:rFonts w:asciiTheme="minorHAnsi" w:hAnsiTheme="minorHAnsi" w:cs="Arial"/>
          <w:b/>
          <w:bCs/>
          <w:color w:val="767171" w:themeColor="background2" w:themeShade="80"/>
          <w:szCs w:val="24"/>
        </w:rPr>
        <w:t>Research team:</w:t>
      </w:r>
      <w:r>
        <w:rPr>
          <w:rFonts w:asciiTheme="minorHAnsi" w:hAnsiTheme="minorHAnsi" w:cs="Arial"/>
          <w:bCs/>
          <w:color w:val="767171" w:themeColor="background2" w:themeShade="80"/>
          <w:szCs w:val="24"/>
        </w:rPr>
        <w:t xml:space="preserve"> Sander Janssen (PI, WUR), Rob Knapen (Big Data expert, WUR), Ioannis Athanasiadis (Big Data Expert, WUR), Hendrik Boogaard (Crop modelling and agronomy, WUR), Hugo de Groot (Geo-Visualization and IT, WUR), Martin van </w:t>
      </w:r>
      <w:proofErr w:type="spellStart"/>
      <w:r>
        <w:rPr>
          <w:rFonts w:asciiTheme="minorHAnsi" w:hAnsiTheme="minorHAnsi" w:cs="Arial"/>
          <w:bCs/>
          <w:color w:val="767171" w:themeColor="background2" w:themeShade="80"/>
          <w:szCs w:val="24"/>
        </w:rPr>
        <w:t>Ittersum</w:t>
      </w:r>
      <w:proofErr w:type="spellEnd"/>
      <w:r>
        <w:rPr>
          <w:rFonts w:asciiTheme="minorHAnsi" w:hAnsiTheme="minorHAnsi" w:cs="Arial"/>
          <w:bCs/>
          <w:color w:val="767171" w:themeColor="background2" w:themeShade="80"/>
          <w:szCs w:val="24"/>
        </w:rPr>
        <w:t xml:space="preserve"> (Plant productions Systems, WUR), Bruno Gerrard (CIMMYT</w:t>
      </w:r>
      <w:r w:rsidR="00C65E9F">
        <w:rPr>
          <w:rFonts w:asciiTheme="minorHAnsi" w:hAnsiTheme="minorHAnsi" w:cs="Arial"/>
          <w:bCs/>
          <w:color w:val="767171" w:themeColor="background2" w:themeShade="80"/>
          <w:szCs w:val="24"/>
        </w:rPr>
        <w:t xml:space="preserve">), Olaf </w:t>
      </w:r>
      <w:proofErr w:type="spellStart"/>
      <w:r w:rsidR="00C65E9F">
        <w:rPr>
          <w:rFonts w:asciiTheme="minorHAnsi" w:hAnsiTheme="minorHAnsi" w:cs="Arial"/>
          <w:bCs/>
          <w:color w:val="767171" w:themeColor="background2" w:themeShade="80"/>
          <w:szCs w:val="24"/>
        </w:rPr>
        <w:t>Erenstein</w:t>
      </w:r>
      <w:proofErr w:type="spellEnd"/>
      <w:r w:rsidR="00C65E9F">
        <w:rPr>
          <w:rFonts w:asciiTheme="minorHAnsi" w:hAnsiTheme="minorHAnsi" w:cs="Arial"/>
          <w:bCs/>
          <w:color w:val="767171" w:themeColor="background2" w:themeShade="80"/>
          <w:szCs w:val="24"/>
        </w:rPr>
        <w:t xml:space="preserve"> (CIMMYT,</w:t>
      </w:r>
      <w:bookmarkStart w:id="0" w:name="_GoBack"/>
      <w:bookmarkEnd w:id="0"/>
      <w:r w:rsidR="00C65E9F">
        <w:rPr>
          <w:rFonts w:asciiTheme="minorHAnsi" w:hAnsiTheme="minorHAnsi" w:cs="Arial"/>
          <w:bCs/>
          <w:color w:val="767171" w:themeColor="background2" w:themeShade="80"/>
          <w:szCs w:val="24"/>
        </w:rPr>
        <w:t xml:space="preserve"> </w:t>
      </w:r>
      <w:r w:rsidR="00E23949">
        <w:rPr>
          <w:rFonts w:asciiTheme="minorHAnsi" w:hAnsiTheme="minorHAnsi" w:cs="Arial"/>
          <w:bCs/>
          <w:color w:val="767171" w:themeColor="background2" w:themeShade="80"/>
          <w:szCs w:val="24"/>
        </w:rPr>
        <w:t>Impact Assessment expert</w:t>
      </w:r>
      <w:r w:rsidR="00C65E9F">
        <w:rPr>
          <w:rFonts w:asciiTheme="minorHAnsi" w:hAnsiTheme="minorHAnsi" w:cs="Arial"/>
          <w:bCs/>
          <w:color w:val="767171" w:themeColor="background2" w:themeShade="80"/>
          <w:szCs w:val="24"/>
        </w:rPr>
        <w:t>)</w:t>
      </w:r>
    </w:p>
    <w:p w14:paraId="10BB31BF" w14:textId="4E820C24" w:rsidR="001D5F7E" w:rsidRPr="00194ADF" w:rsidRDefault="002F7644" w:rsidP="0082230A">
      <w:pPr>
        <w:autoSpaceDE w:val="0"/>
        <w:autoSpaceDN w:val="0"/>
        <w:adjustRightInd w:val="0"/>
        <w:spacing w:beforeLines="50" w:before="120"/>
        <w:rPr>
          <w:rFonts w:asciiTheme="minorHAnsi" w:hAnsiTheme="minorHAnsi" w:cs="Arial"/>
          <w:b/>
          <w:bCs/>
          <w:color w:val="767171" w:themeColor="background2" w:themeShade="80"/>
          <w:szCs w:val="24"/>
        </w:rPr>
      </w:pPr>
      <w:r w:rsidRPr="00194ADF">
        <w:rPr>
          <w:rFonts w:asciiTheme="minorHAnsi" w:hAnsiTheme="minorHAnsi" w:cs="Arial"/>
          <w:b/>
          <w:bCs/>
          <w:color w:val="767171" w:themeColor="background2" w:themeShade="80"/>
          <w:szCs w:val="24"/>
        </w:rPr>
        <w:t>GANTT Chart</w:t>
      </w:r>
    </w:p>
    <w:tbl>
      <w:tblPr>
        <w:tblStyle w:val="TableGrid"/>
        <w:tblW w:w="0" w:type="auto"/>
        <w:tblLook w:val="04A0" w:firstRow="1" w:lastRow="0" w:firstColumn="1" w:lastColumn="0" w:noHBand="0" w:noVBand="1"/>
      </w:tblPr>
      <w:tblGrid>
        <w:gridCol w:w="1451"/>
        <w:gridCol w:w="747"/>
        <w:gridCol w:w="747"/>
        <w:gridCol w:w="747"/>
        <w:gridCol w:w="748"/>
        <w:gridCol w:w="749"/>
        <w:gridCol w:w="749"/>
        <w:gridCol w:w="749"/>
        <w:gridCol w:w="749"/>
        <w:gridCol w:w="749"/>
        <w:gridCol w:w="723"/>
        <w:gridCol w:w="723"/>
        <w:gridCol w:w="665"/>
      </w:tblGrid>
      <w:tr w:rsidR="002C70E6" w14:paraId="734DE3CC" w14:textId="5D69DC75" w:rsidTr="002C70E6">
        <w:tc>
          <w:tcPr>
            <w:tcW w:w="988" w:type="dxa"/>
          </w:tcPr>
          <w:p w14:paraId="484D5781" w14:textId="2FDAA9CB"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Activity</w:t>
            </w:r>
          </w:p>
        </w:tc>
        <w:tc>
          <w:tcPr>
            <w:tcW w:w="798" w:type="dxa"/>
            <w:tcBorders>
              <w:bottom w:val="single" w:sz="4" w:space="0" w:color="auto"/>
            </w:tcBorders>
          </w:tcPr>
          <w:p w14:paraId="5A22D2B2" w14:textId="72B09DFF"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M1</w:t>
            </w:r>
          </w:p>
        </w:tc>
        <w:tc>
          <w:tcPr>
            <w:tcW w:w="798" w:type="dxa"/>
            <w:tcBorders>
              <w:bottom w:val="single" w:sz="4" w:space="0" w:color="auto"/>
            </w:tcBorders>
          </w:tcPr>
          <w:p w14:paraId="04F9CEEF" w14:textId="7CAA23E3"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M2</w:t>
            </w:r>
          </w:p>
        </w:tc>
        <w:tc>
          <w:tcPr>
            <w:tcW w:w="798" w:type="dxa"/>
            <w:tcBorders>
              <w:bottom w:val="single" w:sz="4" w:space="0" w:color="auto"/>
            </w:tcBorders>
          </w:tcPr>
          <w:p w14:paraId="7E84593F" w14:textId="262FBD05"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M3</w:t>
            </w:r>
          </w:p>
        </w:tc>
        <w:tc>
          <w:tcPr>
            <w:tcW w:w="799" w:type="dxa"/>
            <w:tcBorders>
              <w:bottom w:val="single" w:sz="4" w:space="0" w:color="auto"/>
            </w:tcBorders>
          </w:tcPr>
          <w:p w14:paraId="3660CF75" w14:textId="10731E8B"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M4</w:t>
            </w:r>
          </w:p>
        </w:tc>
        <w:tc>
          <w:tcPr>
            <w:tcW w:w="799" w:type="dxa"/>
          </w:tcPr>
          <w:p w14:paraId="3B0381DD" w14:textId="2B67770A"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M5</w:t>
            </w:r>
          </w:p>
        </w:tc>
        <w:tc>
          <w:tcPr>
            <w:tcW w:w="799" w:type="dxa"/>
          </w:tcPr>
          <w:p w14:paraId="1099C445" w14:textId="3B4E8B7B"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M6</w:t>
            </w:r>
          </w:p>
        </w:tc>
        <w:tc>
          <w:tcPr>
            <w:tcW w:w="799" w:type="dxa"/>
          </w:tcPr>
          <w:p w14:paraId="760B3B64" w14:textId="4F49C726"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M7</w:t>
            </w:r>
          </w:p>
        </w:tc>
        <w:tc>
          <w:tcPr>
            <w:tcW w:w="799" w:type="dxa"/>
          </w:tcPr>
          <w:p w14:paraId="27F2719A" w14:textId="5C69D1FF"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M8</w:t>
            </w:r>
          </w:p>
        </w:tc>
        <w:tc>
          <w:tcPr>
            <w:tcW w:w="799" w:type="dxa"/>
          </w:tcPr>
          <w:p w14:paraId="1AFCE79B" w14:textId="62AA11A1"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M9</w:t>
            </w:r>
          </w:p>
        </w:tc>
        <w:tc>
          <w:tcPr>
            <w:tcW w:w="737" w:type="dxa"/>
          </w:tcPr>
          <w:p w14:paraId="298FD2B6" w14:textId="26D6990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M10</w:t>
            </w:r>
          </w:p>
        </w:tc>
        <w:tc>
          <w:tcPr>
            <w:tcW w:w="737" w:type="dxa"/>
          </w:tcPr>
          <w:p w14:paraId="6B38210C" w14:textId="11B96D13"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M11</w:t>
            </w:r>
          </w:p>
        </w:tc>
        <w:tc>
          <w:tcPr>
            <w:tcW w:w="646" w:type="dxa"/>
          </w:tcPr>
          <w:p w14:paraId="413B4FD7" w14:textId="438BCF2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M12</w:t>
            </w:r>
          </w:p>
        </w:tc>
      </w:tr>
      <w:tr w:rsidR="002C70E6" w14:paraId="5C1DC184" w14:textId="1B72D50E" w:rsidTr="002C70E6">
        <w:tc>
          <w:tcPr>
            <w:tcW w:w="988" w:type="dxa"/>
          </w:tcPr>
          <w:p w14:paraId="0E28F5AF" w14:textId="6977886A"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color w:val="767171" w:themeColor="background2" w:themeShade="80"/>
                <w:szCs w:val="24"/>
              </w:rPr>
              <w:t>Building Big Data collection</w:t>
            </w:r>
          </w:p>
        </w:tc>
        <w:tc>
          <w:tcPr>
            <w:tcW w:w="798" w:type="dxa"/>
            <w:shd w:val="pct45" w:color="auto" w:fill="auto"/>
          </w:tcPr>
          <w:p w14:paraId="5465F5B1"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8" w:type="dxa"/>
            <w:shd w:val="pct45" w:color="auto" w:fill="auto"/>
          </w:tcPr>
          <w:p w14:paraId="668F6D34"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8" w:type="dxa"/>
            <w:tcBorders>
              <w:bottom w:val="single" w:sz="4" w:space="0" w:color="auto"/>
            </w:tcBorders>
            <w:shd w:val="pct45" w:color="auto" w:fill="auto"/>
          </w:tcPr>
          <w:p w14:paraId="275D3EEE"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Borders>
              <w:bottom w:val="single" w:sz="4" w:space="0" w:color="auto"/>
            </w:tcBorders>
            <w:shd w:val="pct45" w:color="auto" w:fill="auto"/>
          </w:tcPr>
          <w:p w14:paraId="3F43FE89"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Borders>
              <w:bottom w:val="single" w:sz="4" w:space="0" w:color="auto"/>
            </w:tcBorders>
          </w:tcPr>
          <w:p w14:paraId="2E88B1F3"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Borders>
              <w:bottom w:val="single" w:sz="4" w:space="0" w:color="auto"/>
            </w:tcBorders>
          </w:tcPr>
          <w:p w14:paraId="4D1F8B7F"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Borders>
              <w:bottom w:val="single" w:sz="4" w:space="0" w:color="auto"/>
            </w:tcBorders>
          </w:tcPr>
          <w:p w14:paraId="4E376745"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Pr>
          <w:p w14:paraId="3E819DA1"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Pr>
          <w:p w14:paraId="0D8901FB"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37" w:type="dxa"/>
          </w:tcPr>
          <w:p w14:paraId="67D995C4"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37" w:type="dxa"/>
          </w:tcPr>
          <w:p w14:paraId="5CFD904E"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646" w:type="dxa"/>
          </w:tcPr>
          <w:p w14:paraId="1F644DC8"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r>
      <w:tr w:rsidR="002C70E6" w14:paraId="5FAE34B9" w14:textId="6608C75F" w:rsidTr="002C70E6">
        <w:tc>
          <w:tcPr>
            <w:tcW w:w="988" w:type="dxa"/>
          </w:tcPr>
          <w:p w14:paraId="7C95BBCB" w14:textId="7DD68141"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color w:val="767171" w:themeColor="background2" w:themeShade="80"/>
                <w:szCs w:val="24"/>
              </w:rPr>
              <w:t>Big Data Analytics</w:t>
            </w:r>
          </w:p>
        </w:tc>
        <w:tc>
          <w:tcPr>
            <w:tcW w:w="798" w:type="dxa"/>
          </w:tcPr>
          <w:p w14:paraId="17524898"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8" w:type="dxa"/>
          </w:tcPr>
          <w:p w14:paraId="4AB7ADA2"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8" w:type="dxa"/>
            <w:shd w:val="pct45" w:color="auto" w:fill="auto"/>
          </w:tcPr>
          <w:p w14:paraId="038D0575"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shd w:val="pct45" w:color="auto" w:fill="auto"/>
          </w:tcPr>
          <w:p w14:paraId="541718AB"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shd w:val="pct45" w:color="auto" w:fill="auto"/>
          </w:tcPr>
          <w:p w14:paraId="151A36AF"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shd w:val="pct45" w:color="auto" w:fill="auto"/>
          </w:tcPr>
          <w:p w14:paraId="29B093E5"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Borders>
              <w:bottom w:val="single" w:sz="4" w:space="0" w:color="auto"/>
            </w:tcBorders>
            <w:shd w:val="pct45" w:color="auto" w:fill="auto"/>
          </w:tcPr>
          <w:p w14:paraId="76267422"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Borders>
              <w:bottom w:val="single" w:sz="4" w:space="0" w:color="auto"/>
            </w:tcBorders>
          </w:tcPr>
          <w:p w14:paraId="3C42222E"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Borders>
              <w:bottom w:val="single" w:sz="4" w:space="0" w:color="auto"/>
            </w:tcBorders>
          </w:tcPr>
          <w:p w14:paraId="502612DB"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37" w:type="dxa"/>
          </w:tcPr>
          <w:p w14:paraId="175B9688"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37" w:type="dxa"/>
          </w:tcPr>
          <w:p w14:paraId="3E7DDAE8"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646" w:type="dxa"/>
          </w:tcPr>
          <w:p w14:paraId="79D57FEB"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r>
      <w:tr w:rsidR="002C70E6" w14:paraId="5F6AA13C" w14:textId="0E99569B" w:rsidTr="002C70E6">
        <w:tc>
          <w:tcPr>
            <w:tcW w:w="988" w:type="dxa"/>
          </w:tcPr>
          <w:p w14:paraId="39297CE4" w14:textId="684B0E6A"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color w:val="767171" w:themeColor="background2" w:themeShade="80"/>
                <w:szCs w:val="24"/>
              </w:rPr>
              <w:t>Visualization tool</w:t>
            </w:r>
          </w:p>
        </w:tc>
        <w:tc>
          <w:tcPr>
            <w:tcW w:w="798" w:type="dxa"/>
          </w:tcPr>
          <w:p w14:paraId="07A90EF3"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8" w:type="dxa"/>
          </w:tcPr>
          <w:p w14:paraId="7BAF24C4"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8" w:type="dxa"/>
          </w:tcPr>
          <w:p w14:paraId="09225EA7"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Pr>
          <w:p w14:paraId="0695F248"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Pr>
          <w:p w14:paraId="417C5DD1"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Pr>
          <w:p w14:paraId="5B27F477"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shd w:val="pct45" w:color="auto" w:fill="auto"/>
          </w:tcPr>
          <w:p w14:paraId="26DA5565"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shd w:val="pct45" w:color="auto" w:fill="auto"/>
          </w:tcPr>
          <w:p w14:paraId="210AC734"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Borders>
              <w:bottom w:val="single" w:sz="4" w:space="0" w:color="auto"/>
            </w:tcBorders>
            <w:shd w:val="pct45" w:color="auto" w:fill="auto"/>
          </w:tcPr>
          <w:p w14:paraId="3588E29E"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37" w:type="dxa"/>
            <w:tcBorders>
              <w:bottom w:val="single" w:sz="4" w:space="0" w:color="auto"/>
            </w:tcBorders>
          </w:tcPr>
          <w:p w14:paraId="3E55F3D3"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37" w:type="dxa"/>
            <w:tcBorders>
              <w:bottom w:val="single" w:sz="4" w:space="0" w:color="auto"/>
            </w:tcBorders>
          </w:tcPr>
          <w:p w14:paraId="2E09E1A2"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646" w:type="dxa"/>
            <w:tcBorders>
              <w:bottom w:val="single" w:sz="4" w:space="0" w:color="auto"/>
            </w:tcBorders>
          </w:tcPr>
          <w:p w14:paraId="2B9C31EE"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r>
      <w:tr w:rsidR="002C70E6" w14:paraId="5C472170" w14:textId="22344517" w:rsidTr="002C70E6">
        <w:tc>
          <w:tcPr>
            <w:tcW w:w="988" w:type="dxa"/>
          </w:tcPr>
          <w:p w14:paraId="18B872D6" w14:textId="6EECE4FC"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color w:val="767171" w:themeColor="background2" w:themeShade="80"/>
                <w:szCs w:val="24"/>
              </w:rPr>
              <w:t>Feasibility analysis</w:t>
            </w:r>
          </w:p>
        </w:tc>
        <w:tc>
          <w:tcPr>
            <w:tcW w:w="798" w:type="dxa"/>
          </w:tcPr>
          <w:p w14:paraId="771A2EC4"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8" w:type="dxa"/>
          </w:tcPr>
          <w:p w14:paraId="428109CB"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8" w:type="dxa"/>
          </w:tcPr>
          <w:p w14:paraId="6B617C7F"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Pr>
          <w:p w14:paraId="15F2067B"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Pr>
          <w:p w14:paraId="00EF5735"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Pr>
          <w:p w14:paraId="78F13A68"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Pr>
          <w:p w14:paraId="595AA3CA"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tcPr>
          <w:p w14:paraId="054A52EE"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99" w:type="dxa"/>
            <w:shd w:val="pct45" w:color="auto" w:fill="auto"/>
          </w:tcPr>
          <w:p w14:paraId="0F5C2013"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37" w:type="dxa"/>
            <w:shd w:val="pct45" w:color="auto" w:fill="auto"/>
          </w:tcPr>
          <w:p w14:paraId="473F1357"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737" w:type="dxa"/>
            <w:shd w:val="pct45" w:color="auto" w:fill="auto"/>
          </w:tcPr>
          <w:p w14:paraId="47E13C64"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c>
          <w:tcPr>
            <w:tcW w:w="646" w:type="dxa"/>
            <w:shd w:val="pct45" w:color="auto" w:fill="auto"/>
          </w:tcPr>
          <w:p w14:paraId="4A4B3DB9" w14:textId="77777777" w:rsidR="002C70E6" w:rsidRDefault="002C70E6" w:rsidP="0082230A">
            <w:pPr>
              <w:autoSpaceDE w:val="0"/>
              <w:autoSpaceDN w:val="0"/>
              <w:adjustRightInd w:val="0"/>
              <w:spacing w:beforeLines="50" w:before="120"/>
              <w:rPr>
                <w:rFonts w:asciiTheme="minorHAnsi" w:hAnsiTheme="minorHAnsi" w:cs="Arial"/>
                <w:bCs/>
                <w:color w:val="767171" w:themeColor="background2" w:themeShade="80"/>
                <w:szCs w:val="24"/>
              </w:rPr>
            </w:pPr>
          </w:p>
        </w:tc>
      </w:tr>
    </w:tbl>
    <w:p w14:paraId="6733AF83" w14:textId="77777777" w:rsidR="0082230A" w:rsidRDefault="0082230A" w:rsidP="0082230A">
      <w:pPr>
        <w:rPr>
          <w:rFonts w:asciiTheme="minorHAnsi" w:hAnsiTheme="minorHAnsi" w:cs="Arial"/>
          <w:szCs w:val="24"/>
        </w:rPr>
      </w:pPr>
    </w:p>
    <w:p w14:paraId="4EB52F0E" w14:textId="486DE78C" w:rsidR="00B26FC2" w:rsidRPr="00B26FC2" w:rsidRDefault="00B26FC2" w:rsidP="0082230A">
      <w:pPr>
        <w:rPr>
          <w:rFonts w:asciiTheme="minorHAnsi" w:hAnsiTheme="minorHAnsi" w:cs="Arial"/>
          <w:b/>
          <w:szCs w:val="24"/>
        </w:rPr>
      </w:pPr>
      <w:r w:rsidRPr="00B26FC2">
        <w:rPr>
          <w:rFonts w:asciiTheme="minorHAnsi" w:hAnsiTheme="minorHAnsi" w:cs="Arial"/>
          <w:b/>
          <w:szCs w:val="24"/>
        </w:rPr>
        <w:t>Architecture</w:t>
      </w:r>
    </w:p>
    <w:p w14:paraId="17DB057A" w14:textId="3B58B19D" w:rsidR="00B26FC2" w:rsidRPr="0082230A" w:rsidRDefault="00B26FC2" w:rsidP="0082230A">
      <w:pPr>
        <w:rPr>
          <w:rFonts w:asciiTheme="minorHAnsi" w:hAnsiTheme="minorHAnsi" w:cs="Arial"/>
          <w:szCs w:val="24"/>
        </w:rPr>
      </w:pPr>
      <w:r>
        <w:rPr>
          <w:noProof/>
          <w:lang w:val="en-GB" w:eastAsia="en-GB"/>
        </w:rPr>
        <w:drawing>
          <wp:inline distT="0" distB="0" distL="0" distR="0" wp14:anchorId="54A2A003" wp14:editId="0EDDBF50">
            <wp:extent cx="5438775" cy="2365071"/>
            <wp:effectExtent l="0" t="0" r="0" b="0"/>
            <wp:docPr id="3" name="Picture 3" descr="cid:image001.png@01D31B3D.5EA6C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31B3D.5EA6C8A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443620" cy="2367178"/>
                    </a:xfrm>
                    <a:prstGeom prst="rect">
                      <a:avLst/>
                    </a:prstGeom>
                    <a:noFill/>
                    <a:ln>
                      <a:noFill/>
                    </a:ln>
                  </pic:spPr>
                </pic:pic>
              </a:graphicData>
            </a:graphic>
          </wp:inline>
        </w:drawing>
      </w:r>
    </w:p>
    <w:p w14:paraId="44E12761" w14:textId="44407569" w:rsidR="0082230A" w:rsidRPr="002F7644" w:rsidRDefault="002F7644" w:rsidP="0082230A">
      <w:pPr>
        <w:rPr>
          <w:rFonts w:asciiTheme="minorHAnsi" w:hAnsiTheme="minorHAnsi"/>
          <w:b/>
          <w:szCs w:val="24"/>
        </w:rPr>
      </w:pPr>
      <w:r w:rsidRPr="002F7644">
        <w:rPr>
          <w:rFonts w:asciiTheme="minorHAnsi" w:hAnsiTheme="minorHAnsi"/>
          <w:b/>
          <w:szCs w:val="24"/>
        </w:rPr>
        <w:t>References</w:t>
      </w:r>
    </w:p>
    <w:p w14:paraId="6E18B0B8" w14:textId="0D3074DA" w:rsidR="002F7644" w:rsidRDefault="00F61496" w:rsidP="0082230A">
      <w:pPr>
        <w:rPr>
          <w:rFonts w:asciiTheme="minorHAnsi" w:hAnsiTheme="minorHAnsi"/>
          <w:szCs w:val="24"/>
        </w:rPr>
      </w:pPr>
      <w:r w:rsidRPr="00F61496">
        <w:rPr>
          <w:rFonts w:asciiTheme="minorHAnsi" w:hAnsiTheme="minorHAnsi"/>
          <w:szCs w:val="24"/>
        </w:rPr>
        <w:t xml:space="preserve">van </w:t>
      </w:r>
      <w:proofErr w:type="spellStart"/>
      <w:r w:rsidRPr="00F61496">
        <w:rPr>
          <w:rFonts w:asciiTheme="minorHAnsi" w:hAnsiTheme="minorHAnsi"/>
          <w:szCs w:val="24"/>
        </w:rPr>
        <w:t>Ittersum</w:t>
      </w:r>
      <w:proofErr w:type="spellEnd"/>
      <w:r w:rsidRPr="00F61496">
        <w:rPr>
          <w:rFonts w:asciiTheme="minorHAnsi" w:hAnsiTheme="minorHAnsi"/>
          <w:szCs w:val="24"/>
        </w:rPr>
        <w:t xml:space="preserve">, M.K., van Bussel, L.G.J., Wolf, J., </w:t>
      </w:r>
      <w:proofErr w:type="spellStart"/>
      <w:r w:rsidRPr="00F61496">
        <w:rPr>
          <w:rFonts w:asciiTheme="minorHAnsi" w:hAnsiTheme="minorHAnsi"/>
          <w:szCs w:val="24"/>
        </w:rPr>
        <w:t>Grassini</w:t>
      </w:r>
      <w:proofErr w:type="spellEnd"/>
      <w:r w:rsidRPr="00F61496">
        <w:rPr>
          <w:rFonts w:asciiTheme="minorHAnsi" w:hAnsiTheme="minorHAnsi"/>
          <w:szCs w:val="24"/>
        </w:rPr>
        <w:t xml:space="preserve">, P., van Wart, J., </w:t>
      </w:r>
      <w:proofErr w:type="spellStart"/>
      <w:r w:rsidRPr="00F61496">
        <w:rPr>
          <w:rFonts w:asciiTheme="minorHAnsi" w:hAnsiTheme="minorHAnsi"/>
          <w:szCs w:val="24"/>
        </w:rPr>
        <w:t>Guilpart</w:t>
      </w:r>
      <w:proofErr w:type="spellEnd"/>
      <w:r w:rsidRPr="00F61496">
        <w:rPr>
          <w:rFonts w:asciiTheme="minorHAnsi" w:hAnsiTheme="minorHAnsi"/>
          <w:szCs w:val="24"/>
        </w:rPr>
        <w:t>, N., Claessens, L., de Groot, H., Wiebe, K., Mason-</w:t>
      </w:r>
      <w:proofErr w:type="spellStart"/>
      <w:r w:rsidRPr="00F61496">
        <w:rPr>
          <w:rFonts w:asciiTheme="minorHAnsi" w:hAnsiTheme="minorHAnsi"/>
          <w:szCs w:val="24"/>
        </w:rPr>
        <w:t>D’Croz</w:t>
      </w:r>
      <w:proofErr w:type="spellEnd"/>
      <w:r w:rsidRPr="00F61496">
        <w:rPr>
          <w:rFonts w:asciiTheme="minorHAnsi" w:hAnsiTheme="minorHAnsi"/>
          <w:szCs w:val="24"/>
        </w:rPr>
        <w:t xml:space="preserve">, D., Yang, H., Boogaard, H., van Oort, P.A.J., van Loon, M.P., Saito, K., </w:t>
      </w:r>
      <w:proofErr w:type="spellStart"/>
      <w:r w:rsidRPr="00F61496">
        <w:rPr>
          <w:rFonts w:asciiTheme="minorHAnsi" w:hAnsiTheme="minorHAnsi"/>
          <w:szCs w:val="24"/>
        </w:rPr>
        <w:t>Adimo</w:t>
      </w:r>
      <w:proofErr w:type="spellEnd"/>
      <w:r w:rsidRPr="00F61496">
        <w:rPr>
          <w:rFonts w:asciiTheme="minorHAnsi" w:hAnsiTheme="minorHAnsi"/>
          <w:szCs w:val="24"/>
        </w:rPr>
        <w:t xml:space="preserve">, O., </w:t>
      </w:r>
      <w:proofErr w:type="spellStart"/>
      <w:r w:rsidRPr="00F61496">
        <w:rPr>
          <w:rFonts w:asciiTheme="minorHAnsi" w:hAnsiTheme="minorHAnsi"/>
          <w:szCs w:val="24"/>
        </w:rPr>
        <w:t>Adjei-Nsiah</w:t>
      </w:r>
      <w:proofErr w:type="spellEnd"/>
      <w:r w:rsidRPr="00F61496">
        <w:rPr>
          <w:rFonts w:asciiTheme="minorHAnsi" w:hAnsiTheme="minorHAnsi"/>
          <w:szCs w:val="24"/>
        </w:rPr>
        <w:t xml:space="preserve">, S., </w:t>
      </w:r>
      <w:proofErr w:type="spellStart"/>
      <w:r w:rsidRPr="00F61496">
        <w:rPr>
          <w:rFonts w:asciiTheme="minorHAnsi" w:hAnsiTheme="minorHAnsi"/>
          <w:szCs w:val="24"/>
        </w:rPr>
        <w:t>Agali</w:t>
      </w:r>
      <w:proofErr w:type="spellEnd"/>
      <w:r w:rsidRPr="00F61496">
        <w:rPr>
          <w:rFonts w:asciiTheme="minorHAnsi" w:hAnsiTheme="minorHAnsi"/>
          <w:szCs w:val="24"/>
        </w:rPr>
        <w:t xml:space="preserve">, A., </w:t>
      </w:r>
      <w:proofErr w:type="spellStart"/>
      <w:r w:rsidRPr="00F61496">
        <w:rPr>
          <w:rFonts w:asciiTheme="minorHAnsi" w:hAnsiTheme="minorHAnsi"/>
          <w:szCs w:val="24"/>
        </w:rPr>
        <w:t>Bala</w:t>
      </w:r>
      <w:proofErr w:type="spellEnd"/>
      <w:r w:rsidRPr="00F61496">
        <w:rPr>
          <w:rFonts w:asciiTheme="minorHAnsi" w:hAnsiTheme="minorHAnsi"/>
          <w:szCs w:val="24"/>
        </w:rPr>
        <w:t xml:space="preserve">, A., </w:t>
      </w:r>
      <w:proofErr w:type="spellStart"/>
      <w:r w:rsidRPr="00F61496">
        <w:rPr>
          <w:rFonts w:asciiTheme="minorHAnsi" w:hAnsiTheme="minorHAnsi"/>
          <w:szCs w:val="24"/>
        </w:rPr>
        <w:t>Chikowo</w:t>
      </w:r>
      <w:proofErr w:type="spellEnd"/>
      <w:r w:rsidRPr="00F61496">
        <w:rPr>
          <w:rFonts w:asciiTheme="minorHAnsi" w:hAnsiTheme="minorHAnsi"/>
          <w:szCs w:val="24"/>
        </w:rPr>
        <w:t xml:space="preserve">, R., </w:t>
      </w:r>
      <w:proofErr w:type="spellStart"/>
      <w:r w:rsidRPr="00F61496">
        <w:rPr>
          <w:rFonts w:asciiTheme="minorHAnsi" w:hAnsiTheme="minorHAnsi"/>
          <w:szCs w:val="24"/>
        </w:rPr>
        <w:t>Kaizzi</w:t>
      </w:r>
      <w:proofErr w:type="spellEnd"/>
      <w:r w:rsidRPr="00F61496">
        <w:rPr>
          <w:rFonts w:asciiTheme="minorHAnsi" w:hAnsiTheme="minorHAnsi"/>
          <w:szCs w:val="24"/>
        </w:rPr>
        <w:t xml:space="preserve">, K., </w:t>
      </w:r>
      <w:proofErr w:type="spellStart"/>
      <w:r w:rsidRPr="00F61496">
        <w:rPr>
          <w:rFonts w:asciiTheme="minorHAnsi" w:hAnsiTheme="minorHAnsi"/>
          <w:szCs w:val="24"/>
        </w:rPr>
        <w:t>Kouressy</w:t>
      </w:r>
      <w:proofErr w:type="spellEnd"/>
      <w:r w:rsidRPr="00F61496">
        <w:rPr>
          <w:rFonts w:asciiTheme="minorHAnsi" w:hAnsiTheme="minorHAnsi"/>
          <w:szCs w:val="24"/>
        </w:rPr>
        <w:t xml:space="preserve">, M., </w:t>
      </w:r>
      <w:proofErr w:type="spellStart"/>
      <w:r w:rsidRPr="00F61496">
        <w:rPr>
          <w:rFonts w:asciiTheme="minorHAnsi" w:hAnsiTheme="minorHAnsi"/>
          <w:szCs w:val="24"/>
        </w:rPr>
        <w:t>Makoi</w:t>
      </w:r>
      <w:proofErr w:type="spellEnd"/>
      <w:r w:rsidRPr="00F61496">
        <w:rPr>
          <w:rFonts w:asciiTheme="minorHAnsi" w:hAnsiTheme="minorHAnsi"/>
          <w:szCs w:val="24"/>
        </w:rPr>
        <w:t xml:space="preserve">, J.H.J.R., </w:t>
      </w:r>
      <w:proofErr w:type="spellStart"/>
      <w:r w:rsidRPr="00F61496">
        <w:rPr>
          <w:rFonts w:asciiTheme="minorHAnsi" w:hAnsiTheme="minorHAnsi"/>
          <w:szCs w:val="24"/>
        </w:rPr>
        <w:t>Ouattara</w:t>
      </w:r>
      <w:proofErr w:type="spellEnd"/>
      <w:r w:rsidRPr="00F61496">
        <w:rPr>
          <w:rFonts w:asciiTheme="minorHAnsi" w:hAnsiTheme="minorHAnsi"/>
          <w:szCs w:val="24"/>
        </w:rPr>
        <w:t xml:space="preserve">, K., </w:t>
      </w:r>
      <w:proofErr w:type="spellStart"/>
      <w:r w:rsidRPr="00F61496">
        <w:rPr>
          <w:rFonts w:asciiTheme="minorHAnsi" w:hAnsiTheme="minorHAnsi"/>
          <w:szCs w:val="24"/>
        </w:rPr>
        <w:t>Tesfaye</w:t>
      </w:r>
      <w:proofErr w:type="spellEnd"/>
      <w:r w:rsidRPr="00F61496">
        <w:rPr>
          <w:rFonts w:asciiTheme="minorHAnsi" w:hAnsiTheme="minorHAnsi"/>
          <w:szCs w:val="24"/>
        </w:rPr>
        <w:t>, K., Cassman, K.G., 2016. Can sub-Saharan Africa feed itself? Proceedings of the National Academy of Sciences 113, 14964-14969.</w:t>
      </w:r>
    </w:p>
    <w:p w14:paraId="37A68AA8" w14:textId="40B09C64" w:rsidR="00C65E9F" w:rsidRPr="0082230A" w:rsidRDefault="00C65E9F" w:rsidP="0082230A">
      <w:pPr>
        <w:rPr>
          <w:rFonts w:asciiTheme="minorHAnsi" w:hAnsiTheme="minorHAnsi"/>
          <w:szCs w:val="24"/>
        </w:rPr>
      </w:pPr>
      <w:r w:rsidRPr="00C65E9F">
        <w:rPr>
          <w:rFonts w:asciiTheme="minorHAnsi" w:hAnsiTheme="minorHAnsi"/>
          <w:szCs w:val="24"/>
          <w:lang w:val="nl-NL"/>
        </w:rPr>
        <w:t xml:space="preserve">Lokers, R., Knapen, R., Janssen, S., van Randen, Y., Jansen, J., 2016. </w:t>
      </w:r>
      <w:r w:rsidRPr="00C65E9F">
        <w:rPr>
          <w:rFonts w:asciiTheme="minorHAnsi" w:hAnsiTheme="minorHAnsi"/>
          <w:szCs w:val="24"/>
        </w:rPr>
        <w:t>Analysis of Big Data technologies for use in agro-environmental science. Environmental Modelling &amp; Software 84, 494-504.</w:t>
      </w:r>
    </w:p>
    <w:sectPr w:rsidR="00C65E9F" w:rsidRPr="0082230A" w:rsidSect="00EC0A3B">
      <w:headerReference w:type="default" r:id="rId13"/>
      <w:footerReference w:type="even" r:id="rId14"/>
      <w:footerReference w:type="default" r:id="rId15"/>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528CA5" w15:done="0"/>
  <w15:commentEx w15:paraId="34FE02E8" w15:done="0"/>
  <w15:commentEx w15:paraId="3A0FB22E" w15:done="0"/>
  <w15:commentEx w15:paraId="5543DB67" w15:done="0"/>
  <w15:commentEx w15:paraId="7F94CE06" w15:done="0"/>
  <w15:commentEx w15:paraId="03AA55F7" w15:done="0"/>
  <w15:commentEx w15:paraId="678B5522" w15:done="0"/>
  <w15:commentEx w15:paraId="3CDDDAB5" w15:done="0"/>
  <w15:commentEx w15:paraId="455CC287" w15:done="0"/>
  <w15:commentEx w15:paraId="36C2EFED" w15:done="0"/>
  <w15:commentEx w15:paraId="259B3AEA" w15:done="0"/>
  <w15:commentEx w15:paraId="1C3D9432" w15:done="0"/>
  <w15:commentEx w15:paraId="1D046C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2211A" w14:textId="77777777" w:rsidR="00AE3F54" w:rsidRDefault="00AE3F54" w:rsidP="0082230A">
      <w:r>
        <w:separator/>
      </w:r>
    </w:p>
  </w:endnote>
  <w:endnote w:type="continuationSeparator" w:id="0">
    <w:p w14:paraId="64AD02CF" w14:textId="77777777" w:rsidR="00AE3F54" w:rsidRDefault="00AE3F54"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F1BE2" w14:textId="77777777" w:rsidR="004104D1" w:rsidRDefault="004104D1" w:rsidP="004104D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4104D1" w:rsidRDefault="004104D1" w:rsidP="00822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347E7" w14:textId="75FCBFC0" w:rsidR="004104D1" w:rsidRPr="0082230A" w:rsidRDefault="004104D1" w:rsidP="004104D1">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E23949">
      <w:rPr>
        <w:rStyle w:val="PageNumber"/>
        <w:rFonts w:asciiTheme="minorHAnsi" w:hAnsiTheme="minorHAnsi"/>
        <w:noProof/>
      </w:rPr>
      <w:t>3</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E23949">
      <w:rPr>
        <w:rStyle w:val="PageNumber"/>
        <w:rFonts w:asciiTheme="minorHAnsi" w:hAnsiTheme="minorHAnsi"/>
        <w:noProof/>
      </w:rPr>
      <w:t>3</w:t>
    </w:r>
    <w:r w:rsidRPr="0082230A">
      <w:rPr>
        <w:rStyle w:val="PageNumber"/>
        <w:rFonts w:asciiTheme="minorHAnsi" w:hAnsiTheme="minorHAnsi"/>
      </w:rPr>
      <w:fldChar w:fldCharType="end"/>
    </w:r>
  </w:p>
  <w:p w14:paraId="669A4381" w14:textId="5DE244E3" w:rsidR="004104D1" w:rsidRPr="0082230A" w:rsidRDefault="004104D1"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val="en-GB" w:eastAsia="en-GB"/>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4104D1" w:rsidRPr="00395795" w:rsidRDefault="004104D1"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4104D1" w:rsidRPr="00395795" w:rsidRDefault="004104D1"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4104D1" w:rsidRPr="00395795" w:rsidRDefault="004104D1"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4104D1" w:rsidRPr="00395795" w:rsidRDefault="004104D1"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Pr>
        <w:rFonts w:asciiTheme="minorHAnsi" w:hAnsiTheme="minorHAnsi"/>
        <w:b/>
        <w:noProof/>
        <w:lang w:val="en-GB" w:eastAsia="en-GB"/>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4104D1" w:rsidRPr="0082230A" w:rsidRDefault="004104D1"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72181" w14:textId="77777777" w:rsidR="00AE3F54" w:rsidRDefault="00AE3F54" w:rsidP="0082230A">
      <w:r>
        <w:separator/>
      </w:r>
    </w:p>
  </w:footnote>
  <w:footnote w:type="continuationSeparator" w:id="0">
    <w:p w14:paraId="68B3CEA5" w14:textId="77777777" w:rsidR="00AE3F54" w:rsidRDefault="00AE3F54" w:rsidP="008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B0B19" w14:textId="7CCE2CF2" w:rsidR="004104D1" w:rsidRPr="00EC0A3B" w:rsidRDefault="00731F9C">
    <w:pPr>
      <w:pStyle w:val="Header"/>
      <w:rPr>
        <w:rFonts w:asciiTheme="minorHAnsi" w:hAnsiTheme="minorHAnsi"/>
        <w:b/>
      </w:rPr>
    </w:pPr>
    <w:r>
      <w:rPr>
        <w:rFonts w:asciiTheme="minorHAnsi" w:hAnsiTheme="minorHAnsi"/>
        <w:b/>
        <w:noProof/>
        <w:lang w:val="en-GB" w:eastAsia="en-GB"/>
      </w:rPr>
      <w:drawing>
        <wp:inline distT="0" distB="0" distL="0" distR="0" wp14:anchorId="29E01A40" wp14:editId="155BC62B">
          <wp:extent cx="2000250" cy="323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png"/>
                  <pic:cNvPicPr/>
                </pic:nvPicPr>
                <pic:blipFill>
                  <a:blip r:embed="rId1">
                    <a:extLst>
                      <a:ext uri="{28A0092B-C50C-407E-A947-70E740481C1C}">
                        <a14:useLocalDpi xmlns:a14="http://schemas.microsoft.com/office/drawing/2010/main" val="0"/>
                      </a:ext>
                    </a:extLst>
                  </a:blip>
                  <a:stretch>
                    <a:fillRect/>
                  </a:stretch>
                </pic:blipFill>
                <pic:spPr>
                  <a:xfrm>
                    <a:off x="0" y="0"/>
                    <a:ext cx="2000250" cy="323850"/>
                  </a:xfrm>
                  <a:prstGeom prst="rect">
                    <a:avLst/>
                  </a:prstGeom>
                </pic:spPr>
              </pic:pic>
            </a:graphicData>
          </a:graphic>
        </wp:inline>
      </w:drawing>
    </w:r>
    <w:r w:rsidR="004104D1">
      <w:rPr>
        <w:rFonts w:asciiTheme="minorHAnsi" w:hAnsiTheme="minorHAnsi"/>
        <w:b/>
      </w:rPr>
      <w:tab/>
    </w:r>
    <w:r w:rsidR="004104D1">
      <w:rPr>
        <w:rFonts w:asciiTheme="minorHAnsi" w:hAnsiTheme="minorHAnsi"/>
        <w:b/>
      </w:rPr>
      <w:tab/>
    </w:r>
    <w:r w:rsidR="002346D3">
      <w:rPr>
        <w:rFonts w:asciiTheme="minorHAnsi" w:hAnsiTheme="minorHAnsi"/>
        <w:b/>
        <w:noProof/>
        <w:lang w:val="en-GB" w:eastAsia="en-GB"/>
      </w:rPr>
      <w:drawing>
        <wp:inline distT="0" distB="0" distL="0" distR="0" wp14:anchorId="3C9F571D" wp14:editId="29D61EE5">
          <wp:extent cx="2876550" cy="546545"/>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UR_RGB_standard.png"/>
                  <pic:cNvPicPr/>
                </pic:nvPicPr>
                <pic:blipFill>
                  <a:blip r:embed="rId2">
                    <a:extLst>
                      <a:ext uri="{28A0092B-C50C-407E-A947-70E740481C1C}">
                        <a14:useLocalDpi xmlns:a14="http://schemas.microsoft.com/office/drawing/2010/main" val="0"/>
                      </a:ext>
                    </a:extLst>
                  </a:blip>
                  <a:stretch>
                    <a:fillRect/>
                  </a:stretch>
                </pic:blipFill>
                <pic:spPr>
                  <a:xfrm>
                    <a:off x="0" y="0"/>
                    <a:ext cx="2876550" cy="5465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9D3EC8"/>
    <w:multiLevelType w:val="hybridMultilevel"/>
    <w:tmpl w:val="735E3D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ogaard, Hendrik">
    <w15:presenceInfo w15:providerId="None" w15:userId="Boogaard, Hend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0A"/>
    <w:rsid w:val="00026620"/>
    <w:rsid w:val="00034138"/>
    <w:rsid w:val="000A3CCF"/>
    <w:rsid w:val="000D2BB2"/>
    <w:rsid w:val="000D6E0A"/>
    <w:rsid w:val="00131D73"/>
    <w:rsid w:val="00194ADF"/>
    <w:rsid w:val="001C0806"/>
    <w:rsid w:val="001D5F7E"/>
    <w:rsid w:val="00202C85"/>
    <w:rsid w:val="0020666A"/>
    <w:rsid w:val="002346D3"/>
    <w:rsid w:val="00297ECE"/>
    <w:rsid w:val="002A5670"/>
    <w:rsid w:val="002C70E6"/>
    <w:rsid w:val="002F3EE2"/>
    <w:rsid w:val="002F7644"/>
    <w:rsid w:val="002F79CD"/>
    <w:rsid w:val="003444A1"/>
    <w:rsid w:val="003451CB"/>
    <w:rsid w:val="00395795"/>
    <w:rsid w:val="003C3EAD"/>
    <w:rsid w:val="00401F09"/>
    <w:rsid w:val="004104D1"/>
    <w:rsid w:val="00422901"/>
    <w:rsid w:val="00430BF5"/>
    <w:rsid w:val="004B29FC"/>
    <w:rsid w:val="0051369D"/>
    <w:rsid w:val="00532125"/>
    <w:rsid w:val="0057493D"/>
    <w:rsid w:val="005D7DD2"/>
    <w:rsid w:val="00627D06"/>
    <w:rsid w:val="00642329"/>
    <w:rsid w:val="007039F9"/>
    <w:rsid w:val="00731F9C"/>
    <w:rsid w:val="007C110C"/>
    <w:rsid w:val="007D4C87"/>
    <w:rsid w:val="007E598A"/>
    <w:rsid w:val="007F7221"/>
    <w:rsid w:val="0082230A"/>
    <w:rsid w:val="00861E38"/>
    <w:rsid w:val="0091566D"/>
    <w:rsid w:val="00981F2C"/>
    <w:rsid w:val="00983989"/>
    <w:rsid w:val="009A58AA"/>
    <w:rsid w:val="009D5B23"/>
    <w:rsid w:val="009E20CB"/>
    <w:rsid w:val="00A25F6A"/>
    <w:rsid w:val="00A66B7B"/>
    <w:rsid w:val="00A7047C"/>
    <w:rsid w:val="00AC0B8C"/>
    <w:rsid w:val="00AC7362"/>
    <w:rsid w:val="00AE3F54"/>
    <w:rsid w:val="00AE6E49"/>
    <w:rsid w:val="00B26FC2"/>
    <w:rsid w:val="00BC747C"/>
    <w:rsid w:val="00C65E9F"/>
    <w:rsid w:val="00C93659"/>
    <w:rsid w:val="00D5159E"/>
    <w:rsid w:val="00DA1FE9"/>
    <w:rsid w:val="00E20913"/>
    <w:rsid w:val="00E23949"/>
    <w:rsid w:val="00E27502"/>
    <w:rsid w:val="00E540C1"/>
    <w:rsid w:val="00E77277"/>
    <w:rsid w:val="00EC0A3B"/>
    <w:rsid w:val="00ED2DB1"/>
    <w:rsid w:val="00F02FD5"/>
    <w:rsid w:val="00F41122"/>
    <w:rsid w:val="00F61496"/>
    <w:rsid w:val="00F87D3B"/>
    <w:rsid w:val="00FD455F"/>
    <w:rsid w:val="00FD4E20"/>
    <w:rsid w:val="00FF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A7047C"/>
    <w:rPr>
      <w:rFonts w:ascii="Tahoma" w:hAnsi="Tahoma" w:cs="Tahoma"/>
      <w:sz w:val="16"/>
      <w:szCs w:val="16"/>
    </w:rPr>
  </w:style>
  <w:style w:type="character" w:customStyle="1" w:styleId="BalloonTextChar">
    <w:name w:val="Balloon Text Char"/>
    <w:basedOn w:val="DefaultParagraphFont"/>
    <w:link w:val="BalloonText"/>
    <w:uiPriority w:val="99"/>
    <w:semiHidden/>
    <w:rsid w:val="00A7047C"/>
    <w:rPr>
      <w:rFonts w:ascii="Tahoma" w:eastAsia="MS Mincho" w:hAnsi="Tahoma" w:cs="Tahoma"/>
      <w:sz w:val="16"/>
      <w:szCs w:val="16"/>
      <w:lang w:eastAsia="ja-JP"/>
    </w:rPr>
  </w:style>
  <w:style w:type="paragraph" w:styleId="ListParagraph">
    <w:name w:val="List Paragraph"/>
    <w:basedOn w:val="Normal"/>
    <w:uiPriority w:val="34"/>
    <w:qFormat/>
    <w:rsid w:val="00297ECE"/>
    <w:pPr>
      <w:ind w:left="720"/>
      <w:contextualSpacing/>
    </w:pPr>
  </w:style>
  <w:style w:type="character" w:styleId="CommentReference">
    <w:name w:val="annotation reference"/>
    <w:basedOn w:val="DefaultParagraphFont"/>
    <w:uiPriority w:val="99"/>
    <w:semiHidden/>
    <w:unhideWhenUsed/>
    <w:rsid w:val="00F41122"/>
    <w:rPr>
      <w:sz w:val="16"/>
      <w:szCs w:val="16"/>
    </w:rPr>
  </w:style>
  <w:style w:type="paragraph" w:styleId="CommentText">
    <w:name w:val="annotation text"/>
    <w:basedOn w:val="Normal"/>
    <w:link w:val="CommentTextChar"/>
    <w:uiPriority w:val="99"/>
    <w:semiHidden/>
    <w:unhideWhenUsed/>
    <w:rsid w:val="00F41122"/>
    <w:rPr>
      <w:sz w:val="20"/>
    </w:rPr>
  </w:style>
  <w:style w:type="character" w:customStyle="1" w:styleId="CommentTextChar">
    <w:name w:val="Comment Text Char"/>
    <w:basedOn w:val="DefaultParagraphFont"/>
    <w:link w:val="CommentText"/>
    <w:uiPriority w:val="99"/>
    <w:semiHidden/>
    <w:rsid w:val="00F41122"/>
    <w:rPr>
      <w:rFonts w:ascii="Book Antiqua" w:eastAsia="MS Mincho" w:hAnsi="Book Antiqu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F41122"/>
    <w:rPr>
      <w:b/>
      <w:bCs/>
    </w:rPr>
  </w:style>
  <w:style w:type="character" w:customStyle="1" w:styleId="CommentSubjectChar">
    <w:name w:val="Comment Subject Char"/>
    <w:basedOn w:val="CommentTextChar"/>
    <w:link w:val="CommentSubject"/>
    <w:uiPriority w:val="99"/>
    <w:semiHidden/>
    <w:rsid w:val="00F41122"/>
    <w:rPr>
      <w:rFonts w:ascii="Book Antiqua" w:eastAsia="MS Mincho" w:hAnsi="Book Antiqua" w:cs="Times New Roman"/>
      <w:b/>
      <w:bCs/>
      <w:sz w:val="20"/>
      <w:szCs w:val="20"/>
      <w:lang w:eastAsia="ja-JP"/>
    </w:rPr>
  </w:style>
  <w:style w:type="character" w:styleId="Hyperlink">
    <w:name w:val="Hyperlink"/>
    <w:basedOn w:val="DefaultParagraphFont"/>
    <w:uiPriority w:val="99"/>
    <w:unhideWhenUsed/>
    <w:rsid w:val="005D7DD2"/>
    <w:rPr>
      <w:color w:val="0563C1" w:themeColor="hyperlink"/>
      <w:u w:val="single"/>
    </w:rPr>
  </w:style>
  <w:style w:type="table" w:styleId="TableGrid">
    <w:name w:val="Table Grid"/>
    <w:basedOn w:val="TableNormal"/>
    <w:uiPriority w:val="39"/>
    <w:rsid w:val="002C7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81F2C"/>
    <w:pPr>
      <w:spacing w:after="200"/>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A7047C"/>
    <w:rPr>
      <w:rFonts w:ascii="Tahoma" w:hAnsi="Tahoma" w:cs="Tahoma"/>
      <w:sz w:val="16"/>
      <w:szCs w:val="16"/>
    </w:rPr>
  </w:style>
  <w:style w:type="character" w:customStyle="1" w:styleId="BalloonTextChar">
    <w:name w:val="Balloon Text Char"/>
    <w:basedOn w:val="DefaultParagraphFont"/>
    <w:link w:val="BalloonText"/>
    <w:uiPriority w:val="99"/>
    <w:semiHidden/>
    <w:rsid w:val="00A7047C"/>
    <w:rPr>
      <w:rFonts w:ascii="Tahoma" w:eastAsia="MS Mincho" w:hAnsi="Tahoma" w:cs="Tahoma"/>
      <w:sz w:val="16"/>
      <w:szCs w:val="16"/>
      <w:lang w:eastAsia="ja-JP"/>
    </w:rPr>
  </w:style>
  <w:style w:type="paragraph" w:styleId="ListParagraph">
    <w:name w:val="List Paragraph"/>
    <w:basedOn w:val="Normal"/>
    <w:uiPriority w:val="34"/>
    <w:qFormat/>
    <w:rsid w:val="00297ECE"/>
    <w:pPr>
      <w:ind w:left="720"/>
      <w:contextualSpacing/>
    </w:pPr>
  </w:style>
  <w:style w:type="character" w:styleId="CommentReference">
    <w:name w:val="annotation reference"/>
    <w:basedOn w:val="DefaultParagraphFont"/>
    <w:uiPriority w:val="99"/>
    <w:semiHidden/>
    <w:unhideWhenUsed/>
    <w:rsid w:val="00F41122"/>
    <w:rPr>
      <w:sz w:val="16"/>
      <w:szCs w:val="16"/>
    </w:rPr>
  </w:style>
  <w:style w:type="paragraph" w:styleId="CommentText">
    <w:name w:val="annotation text"/>
    <w:basedOn w:val="Normal"/>
    <w:link w:val="CommentTextChar"/>
    <w:uiPriority w:val="99"/>
    <w:semiHidden/>
    <w:unhideWhenUsed/>
    <w:rsid w:val="00F41122"/>
    <w:rPr>
      <w:sz w:val="20"/>
    </w:rPr>
  </w:style>
  <w:style w:type="character" w:customStyle="1" w:styleId="CommentTextChar">
    <w:name w:val="Comment Text Char"/>
    <w:basedOn w:val="DefaultParagraphFont"/>
    <w:link w:val="CommentText"/>
    <w:uiPriority w:val="99"/>
    <w:semiHidden/>
    <w:rsid w:val="00F41122"/>
    <w:rPr>
      <w:rFonts w:ascii="Book Antiqua" w:eastAsia="MS Mincho" w:hAnsi="Book Antiqu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F41122"/>
    <w:rPr>
      <w:b/>
      <w:bCs/>
    </w:rPr>
  </w:style>
  <w:style w:type="character" w:customStyle="1" w:styleId="CommentSubjectChar">
    <w:name w:val="Comment Subject Char"/>
    <w:basedOn w:val="CommentTextChar"/>
    <w:link w:val="CommentSubject"/>
    <w:uiPriority w:val="99"/>
    <w:semiHidden/>
    <w:rsid w:val="00F41122"/>
    <w:rPr>
      <w:rFonts w:ascii="Book Antiqua" w:eastAsia="MS Mincho" w:hAnsi="Book Antiqua" w:cs="Times New Roman"/>
      <w:b/>
      <w:bCs/>
      <w:sz w:val="20"/>
      <w:szCs w:val="20"/>
      <w:lang w:eastAsia="ja-JP"/>
    </w:rPr>
  </w:style>
  <w:style w:type="character" w:styleId="Hyperlink">
    <w:name w:val="Hyperlink"/>
    <w:basedOn w:val="DefaultParagraphFont"/>
    <w:uiPriority w:val="99"/>
    <w:unhideWhenUsed/>
    <w:rsid w:val="005D7DD2"/>
    <w:rPr>
      <w:color w:val="0563C1" w:themeColor="hyperlink"/>
      <w:u w:val="single"/>
    </w:rPr>
  </w:style>
  <w:style w:type="table" w:styleId="TableGrid">
    <w:name w:val="Table Grid"/>
    <w:basedOn w:val="TableNormal"/>
    <w:uiPriority w:val="39"/>
    <w:rsid w:val="002C7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81F2C"/>
    <w:pPr>
      <w:spacing w:after="200"/>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cid:image001.png@01D31B3D.5EA6C8A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yieldgap.org"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576D32-CB0D-4B82-9118-D169108E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CA23ACD2.dotm</Template>
  <TotalTime>84</TotalTime>
  <Pages>3</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brendan.moroso</dc:creator>
  <cp:lastModifiedBy>Janssen, Sander</cp:lastModifiedBy>
  <cp:revision>8</cp:revision>
  <dcterms:created xsi:type="dcterms:W3CDTF">2017-08-30T14:19:00Z</dcterms:created>
  <dcterms:modified xsi:type="dcterms:W3CDTF">2017-08-31T19:25:00Z</dcterms:modified>
</cp:coreProperties>
</file>